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CB" w:rsidRPr="003F45AD" w:rsidRDefault="003D39CB" w:rsidP="003D39CB">
      <w:pPr>
        <w:bidi w:val="0"/>
        <w:spacing w:after="0" w:line="480" w:lineRule="auto"/>
        <w:jc w:val="center"/>
        <w:rPr>
          <w:rFonts w:asciiTheme="majorBidi" w:hAnsiTheme="majorBidi" w:cstheme="majorBidi"/>
          <w:b/>
          <w:bCs/>
          <w:sz w:val="24"/>
          <w:szCs w:val="24"/>
        </w:rPr>
      </w:pPr>
      <w:r w:rsidRPr="003F45AD">
        <w:rPr>
          <w:rFonts w:asciiTheme="majorBidi" w:hAnsiTheme="majorBidi" w:cstheme="majorBidi"/>
          <w:b/>
          <w:bCs/>
          <w:sz w:val="24"/>
          <w:szCs w:val="24"/>
        </w:rPr>
        <w:t>A new scoring system for stratifying risk for cerebral edema in children suffering diabetic ketoacidosis</w:t>
      </w:r>
    </w:p>
    <w:p w:rsidR="003D39CB" w:rsidRPr="003F45AD" w:rsidRDefault="003D39CB" w:rsidP="003F45AD">
      <w:pPr>
        <w:bidi w:val="0"/>
        <w:spacing w:after="0" w:line="360" w:lineRule="auto"/>
        <w:jc w:val="both"/>
        <w:rPr>
          <w:rFonts w:asciiTheme="majorBidi" w:hAnsiTheme="majorBidi" w:cstheme="majorBidi"/>
          <w:sz w:val="24"/>
          <w:szCs w:val="24"/>
        </w:rPr>
      </w:pPr>
    </w:p>
    <w:p w:rsidR="003F45AD" w:rsidRPr="003F45AD" w:rsidRDefault="003F45AD" w:rsidP="003F45AD">
      <w:pPr>
        <w:bidi w:val="0"/>
        <w:spacing w:line="360" w:lineRule="auto"/>
        <w:jc w:val="both"/>
        <w:rPr>
          <w:rFonts w:asciiTheme="majorBidi" w:hAnsiTheme="majorBidi" w:cstheme="majorBidi"/>
          <w:sz w:val="24"/>
          <w:szCs w:val="24"/>
          <w:vertAlign w:val="superscript"/>
        </w:rPr>
      </w:pPr>
      <w:proofErr w:type="spellStart"/>
      <w:r w:rsidRPr="003F45AD">
        <w:rPr>
          <w:rFonts w:asciiTheme="majorBidi" w:hAnsiTheme="majorBidi" w:cstheme="majorBidi"/>
          <w:sz w:val="24"/>
          <w:szCs w:val="24"/>
        </w:rPr>
        <w:t>Behzad</w:t>
      </w:r>
      <w:proofErr w:type="spellEnd"/>
      <w:r w:rsidRPr="003F45AD">
        <w:rPr>
          <w:rFonts w:asciiTheme="majorBidi" w:hAnsiTheme="majorBidi" w:cstheme="majorBidi"/>
          <w:sz w:val="24"/>
          <w:szCs w:val="24"/>
        </w:rPr>
        <w:t xml:space="preserve"> </w:t>
      </w:r>
      <w:proofErr w:type="spellStart"/>
      <w:r w:rsidRPr="003F45AD">
        <w:rPr>
          <w:rFonts w:asciiTheme="majorBidi" w:hAnsiTheme="majorBidi" w:cstheme="majorBidi"/>
          <w:sz w:val="24"/>
          <w:szCs w:val="24"/>
        </w:rPr>
        <w:t>H</w:t>
      </w:r>
      <w:r w:rsidR="00705856">
        <w:rPr>
          <w:rFonts w:asciiTheme="majorBidi" w:hAnsiTheme="majorBidi" w:cstheme="majorBidi"/>
          <w:sz w:val="24"/>
          <w:szCs w:val="24"/>
        </w:rPr>
        <w:t>a</w:t>
      </w:r>
      <w:r w:rsidRPr="003F45AD">
        <w:rPr>
          <w:rFonts w:asciiTheme="majorBidi" w:hAnsiTheme="majorBidi" w:cstheme="majorBidi"/>
          <w:sz w:val="24"/>
          <w:szCs w:val="24"/>
        </w:rPr>
        <w:t>ghighi</w:t>
      </w:r>
      <w:proofErr w:type="spellEnd"/>
      <w:r w:rsidRPr="003F45AD">
        <w:rPr>
          <w:rFonts w:asciiTheme="majorBidi" w:hAnsiTheme="majorBidi" w:cstheme="majorBidi"/>
          <w:sz w:val="24"/>
          <w:szCs w:val="24"/>
        </w:rPr>
        <w:t xml:space="preserve"> Aski</w:t>
      </w:r>
      <w:r w:rsidRPr="003F45AD">
        <w:rPr>
          <w:rFonts w:asciiTheme="majorBidi" w:hAnsiTheme="majorBidi" w:cstheme="majorBidi"/>
          <w:sz w:val="24"/>
          <w:szCs w:val="24"/>
          <w:vertAlign w:val="superscript"/>
        </w:rPr>
        <w:t>1</w:t>
      </w:r>
      <w:r w:rsidRPr="003F45AD">
        <w:rPr>
          <w:rFonts w:asciiTheme="majorBidi" w:hAnsiTheme="majorBidi" w:cstheme="majorBidi"/>
          <w:sz w:val="24"/>
          <w:szCs w:val="24"/>
        </w:rPr>
        <w:t xml:space="preserve">, Ali </w:t>
      </w:r>
      <w:proofErr w:type="spellStart"/>
      <w:r w:rsidRPr="003F45AD">
        <w:rPr>
          <w:rFonts w:asciiTheme="majorBidi" w:hAnsiTheme="majorBidi" w:cstheme="majorBidi"/>
          <w:sz w:val="24"/>
          <w:szCs w:val="24"/>
        </w:rPr>
        <w:t>Manafi</w:t>
      </w:r>
      <w:proofErr w:type="spellEnd"/>
      <w:r w:rsidRPr="003F45AD">
        <w:rPr>
          <w:rFonts w:asciiTheme="majorBidi" w:hAnsiTheme="majorBidi" w:cstheme="majorBidi"/>
          <w:sz w:val="24"/>
          <w:szCs w:val="24"/>
        </w:rPr>
        <w:t xml:space="preserve"> Anari</w:t>
      </w:r>
      <w:r w:rsidRPr="003F45AD">
        <w:rPr>
          <w:rFonts w:asciiTheme="majorBidi" w:hAnsiTheme="majorBidi" w:cstheme="majorBidi"/>
          <w:sz w:val="24"/>
          <w:szCs w:val="24"/>
          <w:vertAlign w:val="superscript"/>
        </w:rPr>
        <w:t>1</w:t>
      </w:r>
      <w:r w:rsidRPr="003F45AD">
        <w:rPr>
          <w:rFonts w:asciiTheme="majorBidi" w:hAnsiTheme="majorBidi" w:cstheme="majorBidi"/>
          <w:sz w:val="24"/>
          <w:szCs w:val="24"/>
        </w:rPr>
        <w:t xml:space="preserve">, </w:t>
      </w:r>
      <w:proofErr w:type="spellStart"/>
      <w:r w:rsidRPr="003F45AD">
        <w:rPr>
          <w:rFonts w:asciiTheme="majorBidi" w:hAnsiTheme="majorBidi" w:cstheme="majorBidi"/>
          <w:sz w:val="24"/>
          <w:szCs w:val="24"/>
        </w:rPr>
        <w:t>Nazanin</w:t>
      </w:r>
      <w:proofErr w:type="spellEnd"/>
      <w:r w:rsidRPr="003F45AD">
        <w:rPr>
          <w:rFonts w:asciiTheme="majorBidi" w:hAnsiTheme="majorBidi" w:cstheme="majorBidi"/>
          <w:sz w:val="24"/>
          <w:szCs w:val="24"/>
        </w:rPr>
        <w:t xml:space="preserve"> </w:t>
      </w:r>
      <w:proofErr w:type="spellStart"/>
      <w:r w:rsidRPr="003F45AD">
        <w:rPr>
          <w:rFonts w:asciiTheme="majorBidi" w:hAnsiTheme="majorBidi" w:cstheme="majorBidi"/>
          <w:sz w:val="24"/>
          <w:szCs w:val="24"/>
        </w:rPr>
        <w:t>Sarejloo</w:t>
      </w:r>
      <w:proofErr w:type="spellEnd"/>
      <w:r w:rsidRPr="003F45AD">
        <w:rPr>
          <w:rFonts w:asciiTheme="majorBidi" w:hAnsiTheme="majorBidi" w:cstheme="majorBidi"/>
          <w:sz w:val="24"/>
          <w:szCs w:val="24"/>
        </w:rPr>
        <w:t xml:space="preserve"> </w:t>
      </w:r>
      <w:r w:rsidRPr="003F45AD">
        <w:rPr>
          <w:rFonts w:asciiTheme="majorBidi" w:hAnsiTheme="majorBidi" w:cstheme="majorBidi"/>
          <w:sz w:val="24"/>
          <w:szCs w:val="24"/>
          <w:vertAlign w:val="superscript"/>
        </w:rPr>
        <w:t>*2</w:t>
      </w:r>
      <w:r w:rsidRPr="003F45AD">
        <w:rPr>
          <w:rFonts w:asciiTheme="majorBidi" w:hAnsiTheme="majorBidi" w:cstheme="majorBidi"/>
          <w:sz w:val="24"/>
          <w:szCs w:val="24"/>
        </w:rPr>
        <w:t>, Farhad Abolhassan Choobdar</w:t>
      </w:r>
      <w:r w:rsidRPr="003F45AD">
        <w:rPr>
          <w:rFonts w:asciiTheme="majorBidi" w:hAnsiTheme="majorBidi" w:cstheme="majorBidi"/>
          <w:sz w:val="24"/>
          <w:szCs w:val="24"/>
          <w:vertAlign w:val="superscript"/>
        </w:rPr>
        <w:t>3</w:t>
      </w:r>
      <w:r w:rsidRPr="003F45AD">
        <w:rPr>
          <w:rFonts w:asciiTheme="majorBidi" w:hAnsiTheme="majorBidi" w:cstheme="majorBidi"/>
          <w:sz w:val="24"/>
          <w:szCs w:val="24"/>
        </w:rPr>
        <w:t>, Ramin Saemi</w:t>
      </w:r>
      <w:r w:rsidRPr="003F45AD">
        <w:rPr>
          <w:rFonts w:asciiTheme="majorBidi" w:hAnsiTheme="majorBidi" w:cstheme="majorBidi"/>
          <w:sz w:val="24"/>
          <w:szCs w:val="24"/>
          <w:vertAlign w:val="superscript"/>
        </w:rPr>
        <w:t>4</w:t>
      </w:r>
      <w:r w:rsidRPr="003F45AD">
        <w:rPr>
          <w:rFonts w:asciiTheme="majorBidi" w:hAnsiTheme="majorBidi" w:cstheme="majorBidi"/>
          <w:sz w:val="24"/>
          <w:szCs w:val="24"/>
        </w:rPr>
        <w:t>, Rozita Hoseini</w:t>
      </w:r>
      <w:r w:rsidRPr="003F45AD">
        <w:rPr>
          <w:rFonts w:asciiTheme="majorBidi" w:hAnsiTheme="majorBidi" w:cstheme="majorBidi"/>
          <w:sz w:val="24"/>
          <w:szCs w:val="24"/>
          <w:vertAlign w:val="superscript"/>
        </w:rPr>
        <w:t>5</w:t>
      </w:r>
      <w:r w:rsidRPr="003F45AD">
        <w:rPr>
          <w:rFonts w:asciiTheme="majorBidi" w:hAnsiTheme="majorBidi" w:cstheme="majorBidi"/>
          <w:sz w:val="24"/>
          <w:szCs w:val="24"/>
        </w:rPr>
        <w:t xml:space="preserve">, </w:t>
      </w:r>
      <w:proofErr w:type="spellStart"/>
      <w:r w:rsidRPr="003F45AD">
        <w:rPr>
          <w:rFonts w:asciiTheme="majorBidi" w:hAnsiTheme="majorBidi" w:cstheme="majorBidi"/>
          <w:sz w:val="24"/>
          <w:szCs w:val="24"/>
        </w:rPr>
        <w:t>Davoud</w:t>
      </w:r>
      <w:proofErr w:type="spellEnd"/>
      <w:r w:rsidRPr="003F45AD">
        <w:rPr>
          <w:rFonts w:asciiTheme="majorBidi" w:hAnsiTheme="majorBidi" w:cstheme="majorBidi"/>
          <w:sz w:val="24"/>
          <w:szCs w:val="24"/>
        </w:rPr>
        <w:t xml:space="preserve"> </w:t>
      </w:r>
      <w:bookmarkStart w:id="0" w:name="_GoBack"/>
      <w:r w:rsidRPr="003F45AD">
        <w:rPr>
          <w:rFonts w:asciiTheme="majorBidi" w:hAnsiTheme="majorBidi" w:cstheme="majorBidi"/>
          <w:sz w:val="24"/>
          <w:szCs w:val="24"/>
        </w:rPr>
        <w:t>Amirkashani</w:t>
      </w:r>
      <w:bookmarkEnd w:id="0"/>
      <w:r w:rsidRPr="003F45AD">
        <w:rPr>
          <w:rFonts w:asciiTheme="majorBidi" w:hAnsiTheme="majorBidi" w:cstheme="majorBidi"/>
          <w:sz w:val="24"/>
          <w:szCs w:val="24"/>
          <w:vertAlign w:val="superscript"/>
        </w:rPr>
        <w:t>6</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1Department of Pediatrics, Ali Asghar Children's Hospital, Iran University of Medical Sciences, Tehran, Iran</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2 Resident of pediatrics, Ali Asghar Children's Hospital, Iran University of Medical Sciences, Tehran. Iran</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 xml:space="preserve">3 Department of neonatology, Ali Asghar Children's Hospital, Iran University of Medical Sciences, Tehran, Iran </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 xml:space="preserve">4 </w:t>
      </w:r>
      <w:r w:rsidRPr="003F45AD">
        <w:rPr>
          <w:rStyle w:val="tlid-translation"/>
          <w:rFonts w:asciiTheme="majorBidi" w:hAnsiTheme="majorBidi" w:cstheme="majorBidi"/>
          <w:sz w:val="24"/>
          <w:szCs w:val="24"/>
        </w:rPr>
        <w:t>Islamic Azad University of Medical Sciences</w:t>
      </w:r>
      <w:r w:rsidRPr="003F45AD">
        <w:rPr>
          <w:rFonts w:asciiTheme="majorBidi" w:hAnsiTheme="majorBidi" w:cstheme="majorBidi"/>
          <w:sz w:val="24"/>
          <w:szCs w:val="24"/>
        </w:rPr>
        <w:t>, Tehran, Iran</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5 department of Nephrology, Ali Asghar Children's Hospital Iran University of Medical Sciences, Tehran, Iran</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 xml:space="preserve">5 department of Endocrinology, Ali Asghar Children's Hospital, Iran University of Medical Sciences, Tehran, Iran </w:t>
      </w:r>
    </w:p>
    <w:p w:rsidR="003F45AD" w:rsidRPr="003F45AD" w:rsidRDefault="003F45AD" w:rsidP="003F45AD">
      <w:pPr>
        <w:bidi w:val="0"/>
        <w:spacing w:line="360" w:lineRule="auto"/>
        <w:jc w:val="both"/>
        <w:rPr>
          <w:rFonts w:asciiTheme="majorBidi" w:hAnsiTheme="majorBidi" w:cstheme="majorBidi"/>
          <w:sz w:val="24"/>
          <w:szCs w:val="24"/>
        </w:rPr>
      </w:pP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b/>
          <w:bCs/>
          <w:sz w:val="24"/>
          <w:szCs w:val="24"/>
        </w:rPr>
        <w:t xml:space="preserve">Corresponding Author: </w:t>
      </w:r>
      <w:proofErr w:type="spellStart"/>
      <w:r w:rsidRPr="003F45AD">
        <w:rPr>
          <w:rFonts w:asciiTheme="majorBidi" w:hAnsiTheme="majorBidi" w:cstheme="majorBidi"/>
          <w:b/>
          <w:bCs/>
          <w:sz w:val="24"/>
          <w:szCs w:val="24"/>
        </w:rPr>
        <w:t>Nazanin</w:t>
      </w:r>
      <w:proofErr w:type="spellEnd"/>
      <w:r w:rsidRPr="003F45AD">
        <w:rPr>
          <w:rFonts w:asciiTheme="majorBidi" w:hAnsiTheme="majorBidi" w:cstheme="majorBidi"/>
          <w:b/>
          <w:bCs/>
          <w:sz w:val="24"/>
          <w:szCs w:val="24"/>
        </w:rPr>
        <w:t xml:space="preserve"> </w:t>
      </w:r>
      <w:proofErr w:type="spellStart"/>
      <w:r w:rsidRPr="003F45AD">
        <w:rPr>
          <w:rFonts w:asciiTheme="majorBidi" w:hAnsiTheme="majorBidi" w:cstheme="majorBidi"/>
          <w:b/>
          <w:bCs/>
          <w:sz w:val="24"/>
          <w:szCs w:val="24"/>
        </w:rPr>
        <w:t>Sarejloo</w:t>
      </w:r>
      <w:proofErr w:type="spellEnd"/>
      <w:r w:rsidRPr="003F45AD">
        <w:rPr>
          <w:rFonts w:asciiTheme="majorBidi" w:hAnsiTheme="majorBidi" w:cstheme="majorBidi"/>
          <w:b/>
          <w:bCs/>
          <w:sz w:val="24"/>
          <w:szCs w:val="24"/>
        </w:rPr>
        <w:t xml:space="preserve">, </w:t>
      </w:r>
      <w:r w:rsidRPr="003F45AD">
        <w:rPr>
          <w:rFonts w:asciiTheme="majorBidi" w:hAnsiTheme="majorBidi" w:cstheme="majorBidi"/>
          <w:sz w:val="24"/>
          <w:szCs w:val="24"/>
        </w:rPr>
        <w:t>Resident of pediatrics, Ali Asghar Children's Hospital, Iran University of Medical Sciences, Tehran. Iran</w:t>
      </w:r>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 xml:space="preserve">Email: </w:t>
      </w:r>
      <w:hyperlink r:id="rId6" w:history="1">
        <w:r w:rsidRPr="003F45AD">
          <w:rPr>
            <w:rStyle w:val="Hyperlink"/>
            <w:rFonts w:asciiTheme="majorBidi" w:hAnsiTheme="majorBidi" w:cstheme="majorBidi"/>
            <w:sz w:val="24"/>
            <w:szCs w:val="24"/>
          </w:rPr>
          <w:t>nazaninsarejloo@gmail.com</w:t>
        </w:r>
      </w:hyperlink>
    </w:p>
    <w:p w:rsidR="003F45AD" w:rsidRPr="003F45AD" w:rsidRDefault="003F45AD" w:rsidP="003F45AD">
      <w:pPr>
        <w:bidi w:val="0"/>
        <w:spacing w:line="360" w:lineRule="auto"/>
        <w:jc w:val="both"/>
        <w:rPr>
          <w:rFonts w:asciiTheme="majorBidi" w:hAnsiTheme="majorBidi" w:cstheme="majorBidi"/>
          <w:sz w:val="24"/>
          <w:szCs w:val="24"/>
        </w:rPr>
      </w:pPr>
      <w:r w:rsidRPr="003F45AD">
        <w:rPr>
          <w:rFonts w:asciiTheme="majorBidi" w:hAnsiTheme="majorBidi" w:cstheme="majorBidi"/>
          <w:sz w:val="24"/>
          <w:szCs w:val="24"/>
        </w:rPr>
        <w:t>+98 9128243531</w:t>
      </w:r>
    </w:p>
    <w:p w:rsidR="003F45AD" w:rsidRPr="003D39CB" w:rsidRDefault="003F45AD" w:rsidP="003F45AD">
      <w:pPr>
        <w:bidi w:val="0"/>
        <w:spacing w:after="0" w:line="360" w:lineRule="auto"/>
        <w:jc w:val="both"/>
        <w:rPr>
          <w:rFonts w:asciiTheme="majorBidi" w:hAnsiTheme="majorBidi" w:cstheme="majorBidi"/>
          <w:sz w:val="24"/>
          <w:szCs w:val="24"/>
        </w:rPr>
      </w:pPr>
    </w:p>
    <w:p w:rsidR="003F45AD" w:rsidRDefault="003F45AD">
      <w:pPr>
        <w:bidi w:val="0"/>
        <w:rPr>
          <w:rFonts w:asciiTheme="majorBidi" w:hAnsiTheme="majorBidi" w:cstheme="majorBidi"/>
          <w:b/>
          <w:bCs/>
          <w:sz w:val="24"/>
          <w:szCs w:val="24"/>
        </w:rPr>
      </w:pPr>
      <w:r>
        <w:rPr>
          <w:rFonts w:asciiTheme="majorBidi" w:hAnsiTheme="majorBidi" w:cstheme="majorBidi"/>
          <w:b/>
          <w:bCs/>
          <w:sz w:val="24"/>
          <w:szCs w:val="24"/>
        </w:rPr>
        <w:br w:type="page"/>
      </w:r>
    </w:p>
    <w:p w:rsidR="00A26504" w:rsidRPr="003F45AD" w:rsidRDefault="003F45AD" w:rsidP="003D39CB">
      <w:pPr>
        <w:bidi w:val="0"/>
        <w:spacing w:after="0" w:line="360" w:lineRule="auto"/>
        <w:jc w:val="both"/>
        <w:rPr>
          <w:rFonts w:asciiTheme="majorBidi" w:hAnsiTheme="majorBidi" w:cstheme="majorBidi"/>
          <w:b/>
          <w:bCs/>
          <w:sz w:val="24"/>
          <w:szCs w:val="24"/>
        </w:rPr>
      </w:pPr>
      <w:r w:rsidRPr="003F45AD">
        <w:rPr>
          <w:rFonts w:asciiTheme="majorBidi" w:hAnsiTheme="majorBidi" w:cstheme="majorBidi"/>
          <w:b/>
          <w:bCs/>
          <w:sz w:val="24"/>
          <w:szCs w:val="24"/>
        </w:rPr>
        <w:lastRenderedPageBreak/>
        <w:t>Abstract</w:t>
      </w:r>
    </w:p>
    <w:p w:rsidR="003D39CB" w:rsidRPr="003D39CB" w:rsidRDefault="003D39CB" w:rsidP="003D39CB">
      <w:pPr>
        <w:bidi w:val="0"/>
        <w:spacing w:after="0" w:line="360" w:lineRule="auto"/>
        <w:jc w:val="both"/>
        <w:rPr>
          <w:rFonts w:asciiTheme="majorBidi" w:hAnsiTheme="majorBidi" w:cstheme="majorBidi"/>
          <w:sz w:val="24"/>
          <w:szCs w:val="24"/>
        </w:rPr>
      </w:pPr>
      <w:r w:rsidRPr="003F45AD">
        <w:rPr>
          <w:rFonts w:asciiTheme="majorBidi" w:hAnsiTheme="majorBidi" w:cstheme="majorBidi"/>
          <w:b/>
          <w:bCs/>
          <w:sz w:val="24"/>
          <w:szCs w:val="24"/>
        </w:rPr>
        <w:t>Background:</w:t>
      </w:r>
      <w:r w:rsidRPr="003D39CB">
        <w:rPr>
          <w:rFonts w:asciiTheme="majorBidi" w:hAnsiTheme="majorBidi" w:cstheme="majorBidi"/>
          <w:sz w:val="24"/>
          <w:szCs w:val="24"/>
        </w:rPr>
        <w:t xml:space="preserve"> Predicting adverse neurovascular complications due to </w:t>
      </w:r>
      <w:r>
        <w:rPr>
          <w:rFonts w:asciiTheme="majorBidi" w:hAnsiTheme="majorBidi" w:cstheme="majorBidi"/>
          <w:sz w:val="24"/>
          <w:szCs w:val="24"/>
        </w:rPr>
        <w:t>d</w:t>
      </w:r>
      <w:r w:rsidRPr="003D39CB">
        <w:rPr>
          <w:rFonts w:asciiTheme="majorBidi" w:hAnsiTheme="majorBidi" w:cstheme="majorBidi"/>
          <w:sz w:val="24"/>
          <w:szCs w:val="24"/>
        </w:rPr>
        <w:t xml:space="preserve">iabetic ketoacidosis (DKA) particularly in children leads to more appropriately management of disease as well as achievement of acceptable patients' survival. </w:t>
      </w:r>
      <w:r>
        <w:rPr>
          <w:rFonts w:asciiTheme="majorBidi" w:hAnsiTheme="majorBidi" w:cstheme="majorBidi"/>
          <w:sz w:val="24"/>
          <w:szCs w:val="24"/>
        </w:rPr>
        <w:t>Cerebral</w:t>
      </w:r>
      <w:r w:rsidRPr="003D39CB">
        <w:rPr>
          <w:rFonts w:asciiTheme="majorBidi" w:hAnsiTheme="majorBidi" w:cstheme="majorBidi"/>
          <w:sz w:val="24"/>
          <w:szCs w:val="24"/>
        </w:rPr>
        <w:t xml:space="preserve"> edema is a life-threatening adverse event following DKA responsible for high mortality rate. Recently, authors have focused introducing new risk assessment tools for predicting occurrence of brain edema to early prevention of nervous defects and losing consciousness following DKA. The present study aimed to present </w:t>
      </w:r>
      <w:r>
        <w:rPr>
          <w:rFonts w:asciiTheme="majorBidi" w:hAnsiTheme="majorBidi" w:cstheme="majorBidi"/>
          <w:sz w:val="24"/>
          <w:szCs w:val="24"/>
        </w:rPr>
        <w:t xml:space="preserve">a </w:t>
      </w:r>
      <w:r w:rsidRPr="003D39CB">
        <w:rPr>
          <w:rFonts w:asciiTheme="majorBidi" w:hAnsiTheme="majorBidi" w:cstheme="majorBidi"/>
          <w:sz w:val="24"/>
          <w:szCs w:val="24"/>
        </w:rPr>
        <w:t xml:space="preserve">new scoring system for predicting brain edema as a serious consequence of DKA among children.      </w:t>
      </w:r>
    </w:p>
    <w:p w:rsidR="003D39CB" w:rsidRPr="003D39CB" w:rsidRDefault="003D39CB" w:rsidP="003D39CB">
      <w:pPr>
        <w:bidi w:val="0"/>
        <w:spacing w:after="0" w:line="360" w:lineRule="auto"/>
        <w:jc w:val="both"/>
        <w:rPr>
          <w:rFonts w:asciiTheme="majorBidi" w:hAnsiTheme="majorBidi" w:cstheme="majorBidi"/>
          <w:color w:val="000000"/>
          <w:sz w:val="24"/>
          <w:szCs w:val="24"/>
          <w:shd w:val="clear" w:color="auto" w:fill="FFFFFF"/>
        </w:rPr>
      </w:pPr>
      <w:r w:rsidRPr="003F45AD">
        <w:rPr>
          <w:rFonts w:asciiTheme="majorBidi" w:hAnsiTheme="majorBidi" w:cstheme="majorBidi"/>
          <w:b/>
          <w:bCs/>
          <w:sz w:val="24"/>
          <w:szCs w:val="24"/>
        </w:rPr>
        <w:t>Methods:</w:t>
      </w:r>
      <w:r w:rsidRPr="003D39CB">
        <w:rPr>
          <w:rFonts w:asciiTheme="majorBidi" w:hAnsiTheme="majorBidi" w:cstheme="majorBidi"/>
          <w:color w:val="000000"/>
          <w:sz w:val="24"/>
          <w:szCs w:val="24"/>
          <w:shd w:val="clear" w:color="auto" w:fill="FFFFFF"/>
        </w:rPr>
        <w:t xml:space="preserve"> A retrospective chart review was conducted on 112 children with the definitive diagnosis of DKA who were admitted to Ali-e-Asghar Hospital, Tehran, between 2014 and 2017. The multivariable logistic regression modeling and analysis of the ROC curve were used to determine and stratify parameters predicting high risk groups for cerebral edema. </w:t>
      </w:r>
    </w:p>
    <w:p w:rsidR="003D39CB" w:rsidRPr="003D39CB" w:rsidRDefault="003D39CB" w:rsidP="003D39CB">
      <w:pPr>
        <w:bidi w:val="0"/>
        <w:spacing w:after="0" w:line="360" w:lineRule="auto"/>
        <w:jc w:val="both"/>
        <w:rPr>
          <w:rFonts w:asciiTheme="majorBidi" w:hAnsiTheme="majorBidi" w:cstheme="majorBidi"/>
          <w:sz w:val="24"/>
          <w:szCs w:val="24"/>
        </w:rPr>
      </w:pPr>
      <w:r w:rsidRPr="003D39CB">
        <w:rPr>
          <w:rFonts w:asciiTheme="majorBidi" w:hAnsiTheme="majorBidi" w:cstheme="majorBidi"/>
          <w:color w:val="000000"/>
          <w:sz w:val="24"/>
          <w:szCs w:val="24"/>
          <w:shd w:val="clear" w:color="auto" w:fill="FFFFFF"/>
        </w:rPr>
        <w:t xml:space="preserve">Results: In multivariable logistic regression model, using </w:t>
      </w:r>
      <w:r>
        <w:rPr>
          <w:rFonts w:asciiTheme="majorBidi" w:hAnsiTheme="majorBidi" w:cstheme="majorBidi"/>
          <w:color w:val="000000"/>
          <w:sz w:val="24"/>
          <w:szCs w:val="24"/>
          <w:shd w:val="clear" w:color="auto" w:fill="FFFFFF"/>
        </w:rPr>
        <w:t>infant</w:t>
      </w:r>
      <w:r w:rsidRPr="003D39CB">
        <w:rPr>
          <w:rFonts w:asciiTheme="majorBidi" w:hAnsiTheme="majorBidi" w:cstheme="majorBidi"/>
          <w:color w:val="000000"/>
          <w:sz w:val="24"/>
          <w:szCs w:val="24"/>
          <w:shd w:val="clear" w:color="auto" w:fill="FFFFFF"/>
        </w:rPr>
        <w:t xml:space="preserve"> formula (OR = 4.153, p = 0.020), tachypnea on admission (OR = 3.342, p = 0.027), and raised serum creatinine (OR = 1.658, p = 0.026) could effectively predict the likelihood of brain edema following DKA in children.</w:t>
      </w:r>
      <w:r w:rsidRPr="003D39CB">
        <w:rPr>
          <w:rFonts w:asciiTheme="majorBidi" w:hAnsiTheme="majorBidi" w:cstheme="majorBidi"/>
          <w:sz w:val="24"/>
          <w:szCs w:val="24"/>
        </w:rPr>
        <w:t xml:space="preserve"> The children with three parameters were scored as 3, two of three parameters scored as 2, one of three parameters scored as 1, and none parameters scored as 0 considering as very high risk (with 8-fold risk for brain edema), high risk (with 5 to 6-fold risk for brain edema), moderate risk (with 2 to 4- fold risk for brain edema) and low risk for brain edema following DKA. </w:t>
      </w:r>
    </w:p>
    <w:p w:rsidR="003D39CB" w:rsidRPr="003D39CB" w:rsidRDefault="003D39CB" w:rsidP="00A130C6">
      <w:pPr>
        <w:bidi w:val="0"/>
        <w:spacing w:after="0" w:line="360" w:lineRule="auto"/>
        <w:jc w:val="both"/>
        <w:rPr>
          <w:rFonts w:asciiTheme="majorBidi" w:hAnsiTheme="majorBidi" w:cstheme="majorBidi"/>
          <w:sz w:val="24"/>
          <w:szCs w:val="24"/>
        </w:rPr>
      </w:pPr>
      <w:r w:rsidRPr="003F45AD">
        <w:rPr>
          <w:rFonts w:asciiTheme="majorBidi" w:hAnsiTheme="majorBidi" w:cstheme="majorBidi"/>
          <w:b/>
          <w:bCs/>
          <w:sz w:val="24"/>
          <w:szCs w:val="24"/>
        </w:rPr>
        <w:t>Conclusion:</w:t>
      </w:r>
      <w:r w:rsidRPr="003D39CB">
        <w:rPr>
          <w:rFonts w:asciiTheme="majorBidi" w:hAnsiTheme="majorBidi" w:cstheme="majorBidi"/>
          <w:sz w:val="24"/>
          <w:szCs w:val="24"/>
        </w:rPr>
        <w:t xml:space="preserve"> </w:t>
      </w:r>
      <w:r>
        <w:rPr>
          <w:rFonts w:asciiTheme="majorBidi" w:hAnsiTheme="majorBidi" w:cstheme="majorBidi"/>
          <w:color w:val="000000"/>
          <w:sz w:val="24"/>
          <w:szCs w:val="24"/>
          <w:shd w:val="clear" w:color="auto" w:fill="FFFFFF"/>
        </w:rPr>
        <w:t>W</w:t>
      </w:r>
      <w:r w:rsidRPr="003D39CB">
        <w:rPr>
          <w:rFonts w:asciiTheme="majorBidi" w:hAnsiTheme="majorBidi" w:cstheme="majorBidi"/>
          <w:color w:val="000000"/>
          <w:sz w:val="24"/>
          <w:szCs w:val="24"/>
          <w:shd w:val="clear" w:color="auto" w:fill="FFFFFF"/>
        </w:rPr>
        <w:t>e present</w:t>
      </w:r>
      <w:r w:rsidR="00A130C6">
        <w:rPr>
          <w:rFonts w:asciiTheme="majorBidi" w:hAnsiTheme="majorBidi" w:cstheme="majorBidi"/>
          <w:color w:val="000000"/>
          <w:sz w:val="24"/>
          <w:szCs w:val="24"/>
          <w:shd w:val="clear" w:color="auto" w:fill="FFFFFF"/>
        </w:rPr>
        <w:t>s</w:t>
      </w:r>
      <w:r w:rsidRPr="003D39CB">
        <w:rPr>
          <w:rFonts w:asciiTheme="majorBidi" w:hAnsiTheme="majorBidi" w:cstheme="majorBidi"/>
          <w:color w:val="000000"/>
          <w:sz w:val="24"/>
          <w:szCs w:val="24"/>
          <w:shd w:val="clear" w:color="auto" w:fill="FFFFFF"/>
        </w:rPr>
        <w:t xml:space="preserve"> a new scoring system for early identifying children prone to cerebral edema following DKA. This scoring system considers triad of history of using formula, tachypnea on admission and raised serum creatinine and thus </w:t>
      </w:r>
      <w:r w:rsidR="00A130C6">
        <w:rPr>
          <w:rFonts w:asciiTheme="majorBidi" w:hAnsiTheme="majorBidi" w:cstheme="majorBidi"/>
          <w:color w:val="000000"/>
          <w:sz w:val="24"/>
          <w:szCs w:val="24"/>
          <w:shd w:val="clear" w:color="auto" w:fill="FFFFFF"/>
        </w:rPr>
        <w:t>can</w:t>
      </w:r>
      <w:r w:rsidRPr="003D39CB">
        <w:rPr>
          <w:rFonts w:asciiTheme="majorBidi" w:hAnsiTheme="majorBidi" w:cstheme="majorBidi"/>
          <w:color w:val="000000"/>
          <w:sz w:val="24"/>
          <w:szCs w:val="24"/>
          <w:shd w:val="clear" w:color="auto" w:fill="FFFFFF"/>
        </w:rPr>
        <w:t xml:space="preserve"> stratify DKA patients to low, moderate, high and very high risk for cerebral edema.</w:t>
      </w:r>
    </w:p>
    <w:p w:rsidR="003D39CB" w:rsidRDefault="003D39CB" w:rsidP="003F45AD">
      <w:pPr>
        <w:bidi w:val="0"/>
        <w:spacing w:after="0" w:line="480" w:lineRule="auto"/>
        <w:jc w:val="center"/>
        <w:rPr>
          <w:rFonts w:asciiTheme="majorBidi" w:hAnsiTheme="majorBidi" w:cstheme="majorBidi"/>
          <w:sz w:val="24"/>
          <w:szCs w:val="24"/>
        </w:rPr>
      </w:pPr>
    </w:p>
    <w:p w:rsidR="003D39CB" w:rsidRPr="003F45AD" w:rsidRDefault="003F45AD" w:rsidP="003F45AD">
      <w:pPr>
        <w:bidi w:val="0"/>
        <w:spacing w:after="0" w:line="480" w:lineRule="auto"/>
        <w:jc w:val="both"/>
        <w:rPr>
          <w:rFonts w:asciiTheme="majorBidi" w:hAnsiTheme="majorBidi" w:cstheme="majorBidi"/>
          <w:sz w:val="24"/>
          <w:szCs w:val="24"/>
        </w:rPr>
      </w:pPr>
      <w:r w:rsidRPr="003F45AD">
        <w:rPr>
          <w:rFonts w:asciiTheme="majorBidi" w:hAnsiTheme="majorBidi" w:cstheme="majorBidi"/>
          <w:b/>
          <w:bCs/>
          <w:sz w:val="24"/>
          <w:szCs w:val="24"/>
        </w:rPr>
        <w:t xml:space="preserve">Keywords: </w:t>
      </w:r>
      <w:r w:rsidRPr="003F45AD">
        <w:rPr>
          <w:rFonts w:asciiTheme="majorBidi" w:hAnsiTheme="majorBidi" w:cstheme="majorBidi"/>
          <w:sz w:val="24"/>
          <w:szCs w:val="24"/>
        </w:rPr>
        <w:t>cerebral edema, diabetes</w:t>
      </w:r>
    </w:p>
    <w:p w:rsidR="003D39CB" w:rsidRDefault="003D39CB" w:rsidP="003D39CB">
      <w:pPr>
        <w:bidi w:val="0"/>
        <w:spacing w:after="0" w:line="480" w:lineRule="auto"/>
        <w:jc w:val="both"/>
        <w:rPr>
          <w:rFonts w:asciiTheme="majorBidi" w:hAnsiTheme="majorBidi" w:cstheme="majorBidi"/>
          <w:sz w:val="24"/>
          <w:szCs w:val="24"/>
        </w:rPr>
      </w:pPr>
    </w:p>
    <w:p w:rsidR="003F45AD" w:rsidRDefault="003F45AD">
      <w:pPr>
        <w:bidi w:val="0"/>
        <w:rPr>
          <w:rFonts w:asciiTheme="majorBidi" w:hAnsiTheme="majorBidi" w:cstheme="majorBidi"/>
          <w:b/>
          <w:bCs/>
          <w:sz w:val="24"/>
          <w:szCs w:val="24"/>
        </w:rPr>
      </w:pPr>
      <w:r>
        <w:rPr>
          <w:rFonts w:asciiTheme="majorBidi" w:hAnsiTheme="majorBidi" w:cstheme="majorBidi"/>
          <w:b/>
          <w:bCs/>
          <w:sz w:val="24"/>
          <w:szCs w:val="24"/>
        </w:rPr>
        <w:br w:type="page"/>
      </w:r>
    </w:p>
    <w:p w:rsidR="00BB6824" w:rsidRPr="003F45AD" w:rsidRDefault="003F45AD" w:rsidP="003D39CB">
      <w:pPr>
        <w:bidi w:val="0"/>
        <w:spacing w:after="0" w:line="480" w:lineRule="auto"/>
        <w:jc w:val="both"/>
        <w:rPr>
          <w:rFonts w:asciiTheme="majorBidi" w:hAnsiTheme="majorBidi" w:cstheme="majorBidi"/>
          <w:b/>
          <w:bCs/>
          <w:sz w:val="24"/>
          <w:szCs w:val="24"/>
        </w:rPr>
      </w:pPr>
      <w:r w:rsidRPr="003F45AD">
        <w:rPr>
          <w:rFonts w:asciiTheme="majorBidi" w:hAnsiTheme="majorBidi" w:cstheme="majorBidi"/>
          <w:b/>
          <w:bCs/>
          <w:sz w:val="24"/>
          <w:szCs w:val="24"/>
        </w:rPr>
        <w:lastRenderedPageBreak/>
        <w:t>Introduction</w:t>
      </w:r>
    </w:p>
    <w:p w:rsidR="00D7114E" w:rsidRPr="003D39CB" w:rsidRDefault="008C2E10"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sz w:val="24"/>
          <w:szCs w:val="24"/>
        </w:rPr>
        <w:t>Diabetic ketoacidosis (DKA)</w:t>
      </w:r>
      <w:r w:rsidR="00934DCD" w:rsidRPr="003D39CB">
        <w:rPr>
          <w:rFonts w:asciiTheme="majorBidi" w:hAnsiTheme="majorBidi" w:cstheme="majorBidi"/>
          <w:sz w:val="24"/>
          <w:szCs w:val="24"/>
        </w:rPr>
        <w:t xml:space="preserve"> which characterized by a triad of hyperglycemia, high anion gap metabolic acidosis, and </w:t>
      </w:r>
      <w:proofErr w:type="spellStart"/>
      <w:r w:rsidR="00934DCD" w:rsidRPr="003D39CB">
        <w:rPr>
          <w:rFonts w:asciiTheme="majorBidi" w:hAnsiTheme="majorBidi" w:cstheme="majorBidi"/>
          <w:sz w:val="24"/>
          <w:szCs w:val="24"/>
        </w:rPr>
        <w:t>ketonemia</w:t>
      </w:r>
      <w:proofErr w:type="spellEnd"/>
      <w:r w:rsidRPr="003D39CB">
        <w:rPr>
          <w:rFonts w:asciiTheme="majorBidi" w:hAnsiTheme="majorBidi" w:cstheme="majorBidi"/>
          <w:sz w:val="24"/>
          <w:szCs w:val="24"/>
        </w:rPr>
        <w:t xml:space="preserve"> is globally identified as a serious life-threatening complications of uncontrolled of type 1 diabetes (T1D) within childhood with a prevalence of 25% to 30% in children with newly diagnosed diabetes (1). Along with its high primary occurrence, its recurrent is also reportable in a majority of patients that in most referral centers, 80% of recurrent DKA occurred in 20% of the patients, and 60% of DKA occurred in 5% of the patients (</w:t>
      </w:r>
      <w:r w:rsidR="00E9283F" w:rsidRPr="003D39CB">
        <w:rPr>
          <w:rFonts w:asciiTheme="majorBidi" w:hAnsiTheme="majorBidi" w:cstheme="majorBidi"/>
          <w:sz w:val="24"/>
          <w:szCs w:val="24"/>
        </w:rPr>
        <w:t>2</w:t>
      </w:r>
      <w:r w:rsidRPr="003D39CB">
        <w:rPr>
          <w:rFonts w:asciiTheme="majorBidi" w:hAnsiTheme="majorBidi" w:cstheme="majorBidi"/>
          <w:sz w:val="24"/>
          <w:szCs w:val="24"/>
        </w:rPr>
        <w:t>)</w:t>
      </w:r>
      <w:r w:rsidR="00E9283F" w:rsidRPr="003D39CB">
        <w:rPr>
          <w:rFonts w:asciiTheme="majorBidi" w:hAnsiTheme="majorBidi" w:cstheme="majorBidi"/>
          <w:sz w:val="24"/>
          <w:szCs w:val="24"/>
        </w:rPr>
        <w:t xml:space="preserve"> that mainly related to omission or insufficiency of insulin delivery due to inadequate diabetes self-care</w:t>
      </w:r>
      <w:r w:rsidRPr="003D39CB">
        <w:rPr>
          <w:rFonts w:asciiTheme="majorBidi" w:hAnsiTheme="majorBidi" w:cstheme="majorBidi"/>
          <w:sz w:val="24"/>
          <w:szCs w:val="24"/>
        </w:rPr>
        <w:t>. The main adverse sequels of DKA refer to its high related mortality, cerebrovascular morbidity as well as high socioeconomic burden</w:t>
      </w:r>
      <w:r w:rsidR="001E3F07" w:rsidRPr="003D39CB">
        <w:rPr>
          <w:rFonts w:asciiTheme="majorBidi" w:hAnsiTheme="majorBidi" w:cstheme="majorBidi"/>
          <w:sz w:val="24"/>
          <w:szCs w:val="24"/>
        </w:rPr>
        <w:t xml:space="preserve"> (3</w:t>
      </w:r>
      <w:proofErr w:type="gramStart"/>
      <w:r w:rsidR="001E3F07" w:rsidRPr="003D39CB">
        <w:rPr>
          <w:rFonts w:asciiTheme="majorBidi" w:hAnsiTheme="majorBidi" w:cstheme="majorBidi"/>
          <w:sz w:val="24"/>
          <w:szCs w:val="24"/>
        </w:rPr>
        <w:t>,4</w:t>
      </w:r>
      <w:proofErr w:type="gramEnd"/>
      <w:r w:rsidR="001E3F07" w:rsidRPr="003D39CB">
        <w:rPr>
          <w:rFonts w:asciiTheme="majorBidi" w:hAnsiTheme="majorBidi" w:cstheme="majorBidi"/>
          <w:sz w:val="24"/>
          <w:szCs w:val="24"/>
        </w:rPr>
        <w:t>)</w:t>
      </w:r>
      <w:r w:rsidRPr="003D39CB">
        <w:rPr>
          <w:rFonts w:asciiTheme="majorBidi" w:hAnsiTheme="majorBidi" w:cstheme="majorBidi"/>
          <w:sz w:val="24"/>
          <w:szCs w:val="24"/>
        </w:rPr>
        <w:t xml:space="preserve">. In this regard, several researches have been planned to identify major risk factors for DKA with the aim of </w:t>
      </w:r>
      <w:r w:rsidR="00E9283F" w:rsidRPr="003D39CB">
        <w:rPr>
          <w:rFonts w:asciiTheme="majorBidi" w:hAnsiTheme="majorBidi" w:cstheme="majorBidi"/>
          <w:sz w:val="24"/>
          <w:szCs w:val="24"/>
        </w:rPr>
        <w:t>effectively preventing its adverse events.</w:t>
      </w:r>
      <w:r w:rsidR="00934DCD" w:rsidRPr="003D39CB">
        <w:rPr>
          <w:rFonts w:asciiTheme="majorBidi" w:hAnsiTheme="majorBidi" w:cstheme="majorBidi"/>
          <w:sz w:val="24"/>
          <w:szCs w:val="24"/>
        </w:rPr>
        <w:t xml:space="preserve"> In this regard, some underlying factors were identified to predict the likelihood of DKA among children.</w:t>
      </w:r>
      <w:r w:rsidR="001E3F07" w:rsidRPr="003D39CB">
        <w:rPr>
          <w:rFonts w:asciiTheme="majorBidi" w:hAnsiTheme="majorBidi" w:cstheme="majorBidi"/>
          <w:sz w:val="24"/>
          <w:szCs w:val="24"/>
        </w:rPr>
        <w:t xml:space="preserve"> In some studies, infants under the two years of age were more prone to DKA (5</w:t>
      </w:r>
      <w:proofErr w:type="gramStart"/>
      <w:r w:rsidR="00030918" w:rsidRPr="003D39CB">
        <w:rPr>
          <w:rFonts w:asciiTheme="majorBidi" w:hAnsiTheme="majorBidi" w:cstheme="majorBidi"/>
          <w:sz w:val="24"/>
          <w:szCs w:val="24"/>
        </w:rPr>
        <w:t>,6</w:t>
      </w:r>
      <w:proofErr w:type="gramEnd"/>
      <w:r w:rsidR="001E3F07" w:rsidRPr="003D39CB">
        <w:rPr>
          <w:rFonts w:asciiTheme="majorBidi" w:hAnsiTheme="majorBidi" w:cstheme="majorBidi"/>
          <w:sz w:val="24"/>
          <w:szCs w:val="24"/>
        </w:rPr>
        <w:t>).</w:t>
      </w:r>
      <w:r w:rsidR="00030918" w:rsidRPr="003D39CB">
        <w:rPr>
          <w:rFonts w:asciiTheme="majorBidi" w:hAnsiTheme="majorBidi" w:cstheme="majorBidi"/>
          <w:sz w:val="24"/>
          <w:szCs w:val="24"/>
        </w:rPr>
        <w:t xml:space="preserve"> Other risk profiles related to childhood DKA include </w:t>
      </w:r>
      <w:r w:rsidR="009B78F6" w:rsidRPr="003D39CB">
        <w:rPr>
          <w:rFonts w:asciiTheme="majorBidi" w:hAnsiTheme="majorBidi" w:cstheme="majorBidi"/>
          <w:color w:val="000000"/>
          <w:sz w:val="24"/>
          <w:szCs w:val="24"/>
          <w:shd w:val="clear" w:color="auto" w:fill="FFFFFF"/>
        </w:rPr>
        <w:t>a preceding infection</w:t>
      </w:r>
      <w:r w:rsidR="009B78F6" w:rsidRPr="003D39CB">
        <w:rPr>
          <w:rFonts w:asciiTheme="majorBidi" w:hAnsiTheme="majorBidi" w:cstheme="majorBidi"/>
          <w:sz w:val="24"/>
          <w:szCs w:val="24"/>
        </w:rPr>
        <w:t xml:space="preserve"> </w:t>
      </w:r>
      <w:r w:rsidR="00030918" w:rsidRPr="003D39CB">
        <w:rPr>
          <w:rFonts w:asciiTheme="majorBidi" w:hAnsiTheme="majorBidi" w:cstheme="majorBidi"/>
          <w:sz w:val="24"/>
          <w:szCs w:val="24"/>
        </w:rPr>
        <w:t xml:space="preserve">before DKA, </w:t>
      </w:r>
      <w:r w:rsidR="009B78F6" w:rsidRPr="003D39CB">
        <w:rPr>
          <w:rFonts w:asciiTheme="majorBidi" w:hAnsiTheme="majorBidi" w:cstheme="majorBidi"/>
          <w:color w:val="000000"/>
          <w:sz w:val="24"/>
          <w:szCs w:val="24"/>
          <w:shd w:val="clear" w:color="auto" w:fill="FFFFFF"/>
        </w:rPr>
        <w:t>low serum C-peptide level</w:t>
      </w:r>
      <w:r w:rsidR="009B78F6" w:rsidRPr="003D39CB">
        <w:rPr>
          <w:rFonts w:asciiTheme="majorBidi" w:hAnsiTheme="majorBidi" w:cstheme="majorBidi"/>
          <w:sz w:val="24"/>
          <w:szCs w:val="24"/>
        </w:rPr>
        <w:t xml:space="preserve">, </w:t>
      </w:r>
      <w:r w:rsidR="00030918" w:rsidRPr="003D39CB">
        <w:rPr>
          <w:rFonts w:asciiTheme="majorBidi" w:hAnsiTheme="majorBidi" w:cstheme="majorBidi"/>
          <w:sz w:val="24"/>
          <w:szCs w:val="24"/>
        </w:rPr>
        <w:t>the knowledge of parents toward diabetes control, DKA manifestations and care,</w:t>
      </w:r>
      <w:r w:rsidR="009B78F6" w:rsidRPr="003D39CB">
        <w:rPr>
          <w:rFonts w:asciiTheme="majorBidi" w:hAnsiTheme="majorBidi" w:cstheme="majorBidi"/>
          <w:sz w:val="24"/>
          <w:szCs w:val="24"/>
        </w:rPr>
        <w:t xml:space="preserve"> low parental education level, and even racial difference (7-10).</w:t>
      </w:r>
      <w:r w:rsidR="00D7114E" w:rsidRPr="003D39CB">
        <w:rPr>
          <w:rFonts w:asciiTheme="majorBidi" w:hAnsiTheme="majorBidi" w:cstheme="majorBidi"/>
          <w:sz w:val="24"/>
          <w:szCs w:val="24"/>
        </w:rPr>
        <w:t xml:space="preserve"> Some risk assessment scores have been introduced for predicting occurrence and exacerbation of DKA and its related mortality among adults such as </w:t>
      </w:r>
      <w:r w:rsidR="00D7114E" w:rsidRPr="003D39CB">
        <w:rPr>
          <w:rFonts w:asciiTheme="majorBidi" w:hAnsiTheme="majorBidi" w:cstheme="majorBidi"/>
          <w:color w:val="000000"/>
          <w:sz w:val="24"/>
          <w:szCs w:val="24"/>
          <w:shd w:val="clear" w:color="auto" w:fill="FFFFFF"/>
        </w:rPr>
        <w:fldChar w:fldCharType="begin"/>
      </w:r>
      <w:r w:rsidR="00D7114E" w:rsidRPr="003D39CB">
        <w:rPr>
          <w:rFonts w:asciiTheme="majorBidi" w:hAnsiTheme="majorBidi" w:cstheme="majorBidi"/>
          <w:color w:val="000000"/>
          <w:sz w:val="24"/>
          <w:szCs w:val="24"/>
          <w:shd w:val="clear" w:color="auto" w:fill="FFFFFF"/>
        </w:rPr>
        <w:instrText xml:space="preserve"> HYPERLINK "https://www.mdcalc.com/diabetic-ketoacidosis-mortality-prediction-model-dka-mpm-score" </w:instrText>
      </w:r>
      <w:r w:rsidR="00D7114E" w:rsidRPr="003D39CB">
        <w:rPr>
          <w:rFonts w:asciiTheme="majorBidi" w:hAnsiTheme="majorBidi" w:cstheme="majorBidi"/>
          <w:color w:val="000000"/>
          <w:sz w:val="24"/>
          <w:szCs w:val="24"/>
          <w:shd w:val="clear" w:color="auto" w:fill="FFFFFF"/>
        </w:rPr>
        <w:fldChar w:fldCharType="separate"/>
      </w:r>
      <w:r w:rsidR="00D7114E" w:rsidRPr="003D39CB">
        <w:rPr>
          <w:rFonts w:asciiTheme="majorBidi" w:hAnsiTheme="majorBidi" w:cstheme="majorBidi"/>
          <w:color w:val="000000"/>
          <w:sz w:val="24"/>
          <w:szCs w:val="24"/>
          <w:shd w:val="clear" w:color="auto" w:fill="FFFFFF"/>
        </w:rPr>
        <w:t xml:space="preserve">the Mortality Prediction Model (DKA MPM) Score, </w:t>
      </w:r>
      <w:r w:rsidR="006240B9" w:rsidRPr="003D39CB">
        <w:rPr>
          <w:rFonts w:asciiTheme="majorBidi" w:hAnsiTheme="majorBidi" w:cstheme="majorBidi"/>
          <w:color w:val="000000"/>
          <w:sz w:val="24"/>
          <w:szCs w:val="24"/>
          <w:shd w:val="clear" w:color="auto" w:fill="FFFFFF"/>
        </w:rPr>
        <w:t>and APACHE II score. However, a few studies focused the scoring systems predicting DKA among children. One of the main scoring systems for prediction of mortality in affected children is the Pediatric risk of mortality (PRISM) score including 17 commonly measured physiologic variables including vital sign variables, arterial blood gas parameters, Glasgow Coma Score, the level of serum glucose, coagulation indices, and also calcium and potassium levels. However this scoring system is not also specified to DKA</w:t>
      </w:r>
      <w:r w:rsidR="00A97BAB" w:rsidRPr="003D39CB">
        <w:rPr>
          <w:rFonts w:asciiTheme="majorBidi" w:hAnsiTheme="majorBidi" w:cstheme="majorBidi"/>
          <w:color w:val="000000"/>
          <w:sz w:val="24"/>
          <w:szCs w:val="24"/>
          <w:shd w:val="clear" w:color="auto" w:fill="FFFFFF"/>
        </w:rPr>
        <w:t xml:space="preserve"> especially for predicting its related events such </w:t>
      </w:r>
      <w:r w:rsidR="00A97BAB" w:rsidRPr="003D39CB">
        <w:rPr>
          <w:rFonts w:asciiTheme="majorBidi" w:hAnsiTheme="majorBidi" w:cstheme="majorBidi"/>
          <w:color w:val="000000"/>
          <w:sz w:val="24"/>
          <w:szCs w:val="24"/>
          <w:shd w:val="clear" w:color="auto" w:fill="FFFFFF"/>
        </w:rPr>
        <w:lastRenderedPageBreak/>
        <w:t>as brain edema</w:t>
      </w:r>
      <w:r w:rsidR="006240B9" w:rsidRPr="003D39CB">
        <w:rPr>
          <w:rFonts w:asciiTheme="majorBidi" w:hAnsiTheme="majorBidi" w:cstheme="majorBidi"/>
          <w:color w:val="000000"/>
          <w:sz w:val="24"/>
          <w:szCs w:val="24"/>
          <w:shd w:val="clear" w:color="auto" w:fill="FFFFFF"/>
        </w:rPr>
        <w:t xml:space="preserve"> in children</w:t>
      </w:r>
      <w:r w:rsidR="001F781F" w:rsidRPr="003D39CB">
        <w:rPr>
          <w:rFonts w:asciiTheme="majorBidi" w:hAnsiTheme="majorBidi" w:cstheme="majorBidi"/>
          <w:color w:val="000000"/>
          <w:sz w:val="24"/>
          <w:szCs w:val="24"/>
          <w:shd w:val="clear" w:color="auto" w:fill="FFFFFF"/>
        </w:rPr>
        <w:t xml:space="preserve"> (11)</w:t>
      </w:r>
      <w:r w:rsidR="006240B9" w:rsidRPr="003D39CB">
        <w:rPr>
          <w:rFonts w:asciiTheme="majorBidi" w:hAnsiTheme="majorBidi" w:cstheme="majorBidi"/>
          <w:color w:val="000000"/>
          <w:sz w:val="24"/>
          <w:szCs w:val="24"/>
          <w:shd w:val="clear" w:color="auto" w:fill="FFFFFF"/>
        </w:rPr>
        <w:t>. Therefore, the need for designing a specific scoring system is quite felt to predict the risk of occurring</w:t>
      </w:r>
      <w:r w:rsidR="00A97BAB" w:rsidRPr="003D39CB">
        <w:rPr>
          <w:rFonts w:asciiTheme="majorBidi" w:hAnsiTheme="majorBidi" w:cstheme="majorBidi"/>
          <w:color w:val="000000"/>
          <w:sz w:val="24"/>
          <w:szCs w:val="24"/>
          <w:shd w:val="clear" w:color="auto" w:fill="FFFFFF"/>
        </w:rPr>
        <w:t xml:space="preserve"> brain edema</w:t>
      </w:r>
      <w:r w:rsidR="0036258B" w:rsidRPr="003D39CB">
        <w:rPr>
          <w:rFonts w:asciiTheme="majorBidi" w:hAnsiTheme="majorBidi" w:cstheme="majorBidi"/>
          <w:color w:val="000000"/>
          <w:sz w:val="24"/>
          <w:szCs w:val="24"/>
          <w:shd w:val="clear" w:color="auto" w:fill="FFFFFF"/>
        </w:rPr>
        <w:t xml:space="preserve"> </w:t>
      </w:r>
      <w:r w:rsidR="006240B9" w:rsidRPr="003D39CB">
        <w:rPr>
          <w:rFonts w:asciiTheme="majorBidi" w:hAnsiTheme="majorBidi" w:cstheme="majorBidi"/>
          <w:color w:val="000000"/>
          <w:sz w:val="24"/>
          <w:szCs w:val="24"/>
          <w:shd w:val="clear" w:color="auto" w:fill="FFFFFF"/>
        </w:rPr>
        <w:t>among children.</w:t>
      </w:r>
      <w:r w:rsidR="0036258B" w:rsidRPr="003D39CB">
        <w:rPr>
          <w:rFonts w:asciiTheme="majorBidi" w:hAnsiTheme="majorBidi" w:cstheme="majorBidi"/>
          <w:color w:val="000000"/>
          <w:sz w:val="24"/>
          <w:szCs w:val="24"/>
          <w:shd w:val="clear" w:color="auto" w:fill="FFFFFF"/>
        </w:rPr>
        <w:t xml:space="preserve"> </w:t>
      </w:r>
      <w:r w:rsidR="009976FD" w:rsidRPr="003D39CB">
        <w:rPr>
          <w:rFonts w:asciiTheme="majorBidi" w:hAnsiTheme="majorBidi" w:cstheme="majorBidi"/>
          <w:color w:val="000000"/>
          <w:sz w:val="24"/>
          <w:szCs w:val="24"/>
          <w:shd w:val="clear" w:color="auto" w:fill="FFFFFF"/>
        </w:rPr>
        <w:t>The present study aimed to present new scoring sy</w:t>
      </w:r>
      <w:r w:rsidR="001F781F" w:rsidRPr="003D39CB">
        <w:rPr>
          <w:rFonts w:asciiTheme="majorBidi" w:hAnsiTheme="majorBidi" w:cstheme="majorBidi"/>
          <w:color w:val="000000"/>
          <w:sz w:val="24"/>
          <w:szCs w:val="24"/>
          <w:shd w:val="clear" w:color="auto" w:fill="FFFFFF"/>
        </w:rPr>
        <w:t xml:space="preserve">stems for predicting </w:t>
      </w:r>
      <w:r w:rsidR="005A4245" w:rsidRPr="003D39CB">
        <w:rPr>
          <w:rFonts w:asciiTheme="majorBidi" w:hAnsiTheme="majorBidi" w:cstheme="majorBidi"/>
          <w:color w:val="000000"/>
          <w:sz w:val="24"/>
          <w:szCs w:val="24"/>
          <w:shd w:val="clear" w:color="auto" w:fill="FFFFFF"/>
        </w:rPr>
        <w:t xml:space="preserve">brain edema </w:t>
      </w:r>
      <w:r w:rsidR="001F781F" w:rsidRPr="003D39CB">
        <w:rPr>
          <w:rFonts w:asciiTheme="majorBidi" w:hAnsiTheme="majorBidi" w:cstheme="majorBidi"/>
          <w:color w:val="000000"/>
          <w:sz w:val="24"/>
          <w:szCs w:val="24"/>
          <w:shd w:val="clear" w:color="auto" w:fill="FFFFFF"/>
        </w:rPr>
        <w:t>as a serious consequence</w:t>
      </w:r>
      <w:r w:rsidR="009976FD" w:rsidRPr="003D39CB">
        <w:rPr>
          <w:rFonts w:asciiTheme="majorBidi" w:hAnsiTheme="majorBidi" w:cstheme="majorBidi"/>
          <w:color w:val="000000"/>
          <w:sz w:val="24"/>
          <w:szCs w:val="24"/>
          <w:shd w:val="clear" w:color="auto" w:fill="FFFFFF"/>
        </w:rPr>
        <w:t xml:space="preserve"> of DKA among children. </w:t>
      </w:r>
      <w:r w:rsidR="006240B9" w:rsidRPr="003D39CB">
        <w:rPr>
          <w:rFonts w:asciiTheme="majorBidi" w:hAnsiTheme="majorBidi" w:cstheme="majorBidi"/>
          <w:color w:val="000000"/>
          <w:sz w:val="24"/>
          <w:szCs w:val="24"/>
          <w:shd w:val="clear" w:color="auto" w:fill="FFFFFF"/>
        </w:rPr>
        <w:t xml:space="preserve">       </w:t>
      </w:r>
      <w:r w:rsidR="00D7114E" w:rsidRPr="003D39CB">
        <w:rPr>
          <w:rFonts w:asciiTheme="majorBidi" w:hAnsiTheme="majorBidi" w:cstheme="majorBidi"/>
          <w:color w:val="000000"/>
          <w:sz w:val="24"/>
          <w:szCs w:val="24"/>
          <w:shd w:val="clear" w:color="auto" w:fill="FFFFFF"/>
        </w:rPr>
        <w:t xml:space="preserve"> </w:t>
      </w:r>
    </w:p>
    <w:p w:rsidR="00A130C6" w:rsidRDefault="00D7114E"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color w:val="000000"/>
          <w:sz w:val="24"/>
          <w:szCs w:val="24"/>
          <w:shd w:val="clear" w:color="auto" w:fill="FFFFFF"/>
        </w:rPr>
        <w:fldChar w:fldCharType="end"/>
      </w:r>
    </w:p>
    <w:p w:rsidR="003E4E9C" w:rsidRPr="003F45AD" w:rsidRDefault="003F45AD" w:rsidP="00A130C6">
      <w:pPr>
        <w:bidi w:val="0"/>
        <w:spacing w:after="0" w:line="480" w:lineRule="auto"/>
        <w:jc w:val="both"/>
        <w:rPr>
          <w:rFonts w:asciiTheme="majorBidi" w:hAnsiTheme="majorBidi" w:cstheme="majorBidi"/>
          <w:b/>
          <w:bCs/>
          <w:color w:val="000000"/>
          <w:sz w:val="24"/>
          <w:szCs w:val="24"/>
          <w:shd w:val="clear" w:color="auto" w:fill="FFFFFF"/>
        </w:rPr>
      </w:pPr>
      <w:proofErr w:type="spellStart"/>
      <w:r w:rsidRPr="003F45AD">
        <w:rPr>
          <w:rFonts w:asciiTheme="majorBidi" w:hAnsiTheme="majorBidi" w:cstheme="majorBidi"/>
          <w:b/>
          <w:bCs/>
          <w:color w:val="000000"/>
          <w:sz w:val="24"/>
          <w:szCs w:val="24"/>
          <w:shd w:val="clear" w:color="auto" w:fill="FFFFFF"/>
        </w:rPr>
        <w:t>Matrials</w:t>
      </w:r>
      <w:proofErr w:type="spellEnd"/>
      <w:r w:rsidRPr="003F45AD">
        <w:rPr>
          <w:rFonts w:asciiTheme="majorBidi" w:hAnsiTheme="majorBidi" w:cstheme="majorBidi"/>
          <w:b/>
          <w:bCs/>
          <w:color w:val="000000"/>
          <w:sz w:val="24"/>
          <w:szCs w:val="24"/>
          <w:shd w:val="clear" w:color="auto" w:fill="FFFFFF"/>
        </w:rPr>
        <w:t xml:space="preserve"> and Methods</w:t>
      </w:r>
    </w:p>
    <w:p w:rsidR="001F781F" w:rsidRPr="003D39CB" w:rsidRDefault="00D56872"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color w:val="000000"/>
          <w:sz w:val="24"/>
          <w:szCs w:val="24"/>
          <w:shd w:val="clear" w:color="auto" w:fill="FFFFFF"/>
        </w:rPr>
        <w:t xml:space="preserve">A retrospective chart review was conducted on </w:t>
      </w:r>
      <w:r w:rsidR="003D39CB" w:rsidRPr="003D39CB">
        <w:rPr>
          <w:rFonts w:asciiTheme="majorBidi" w:hAnsiTheme="majorBidi" w:cstheme="majorBidi"/>
          <w:color w:val="000000"/>
          <w:sz w:val="24"/>
          <w:szCs w:val="24"/>
          <w:shd w:val="clear" w:color="auto" w:fill="FFFFFF"/>
        </w:rPr>
        <w:t>112</w:t>
      </w:r>
      <w:r w:rsidRPr="003D39CB">
        <w:rPr>
          <w:rFonts w:asciiTheme="majorBidi" w:hAnsiTheme="majorBidi" w:cstheme="majorBidi"/>
          <w:color w:val="000000"/>
          <w:sz w:val="24"/>
          <w:szCs w:val="24"/>
          <w:shd w:val="clear" w:color="auto" w:fill="FFFFFF"/>
        </w:rPr>
        <w:t xml:space="preserve"> children with the definitive diagnosis of DKA </w:t>
      </w:r>
      <w:r w:rsidR="00D75C87" w:rsidRPr="003D39CB">
        <w:rPr>
          <w:rFonts w:asciiTheme="majorBidi" w:hAnsiTheme="majorBidi" w:cstheme="majorBidi"/>
          <w:color w:val="000000"/>
          <w:sz w:val="24"/>
          <w:szCs w:val="24"/>
          <w:shd w:val="clear" w:color="auto" w:fill="FFFFFF"/>
        </w:rPr>
        <w:t xml:space="preserve">(based on the presence of pH &lt; 7.3, bicarbonate &lt; 15 and the presence of urinary ketones) </w:t>
      </w:r>
      <w:r w:rsidRPr="003D39CB">
        <w:rPr>
          <w:rFonts w:asciiTheme="majorBidi" w:hAnsiTheme="majorBidi" w:cstheme="majorBidi"/>
          <w:color w:val="000000"/>
          <w:sz w:val="24"/>
          <w:szCs w:val="24"/>
          <w:shd w:val="clear" w:color="auto" w:fill="FFFFFF"/>
        </w:rPr>
        <w:t xml:space="preserve">aged </w:t>
      </w:r>
      <w:r w:rsidR="005A4245" w:rsidRPr="003D39CB">
        <w:rPr>
          <w:rFonts w:asciiTheme="majorBidi" w:hAnsiTheme="majorBidi" w:cstheme="majorBidi"/>
          <w:color w:val="000000"/>
          <w:sz w:val="24"/>
          <w:szCs w:val="24"/>
          <w:shd w:val="clear" w:color="auto" w:fill="FFFFFF"/>
        </w:rPr>
        <w:t>less than</w:t>
      </w:r>
      <w:r w:rsidRPr="003D39CB">
        <w:rPr>
          <w:rFonts w:asciiTheme="majorBidi" w:hAnsiTheme="majorBidi" w:cstheme="majorBidi"/>
          <w:color w:val="000000"/>
          <w:sz w:val="24"/>
          <w:szCs w:val="24"/>
          <w:shd w:val="clear" w:color="auto" w:fill="FFFFFF"/>
        </w:rPr>
        <w:t xml:space="preserve"> 15 years who were admitted to Ali-e-Asghar Hospital, Tehran, between 2014 and 2017. Each medical record was analyzed for demographic data (age and sex), medical history,</w:t>
      </w:r>
      <w:r w:rsidR="00D75C87" w:rsidRPr="003D39CB">
        <w:rPr>
          <w:rFonts w:asciiTheme="majorBidi" w:hAnsiTheme="majorBidi" w:cstheme="majorBidi"/>
          <w:color w:val="000000"/>
          <w:sz w:val="24"/>
          <w:szCs w:val="24"/>
          <w:shd w:val="clear" w:color="auto" w:fill="FFFFFF"/>
        </w:rPr>
        <w:t xml:space="preserve"> family history of DKA, clinical manifestations and laboratory parameters</w:t>
      </w:r>
      <w:r w:rsidR="00A417E2" w:rsidRPr="003D39CB">
        <w:rPr>
          <w:rFonts w:asciiTheme="majorBidi" w:hAnsiTheme="majorBidi" w:cstheme="majorBidi"/>
          <w:color w:val="000000"/>
          <w:sz w:val="24"/>
          <w:szCs w:val="24"/>
          <w:shd w:val="clear" w:color="auto" w:fill="FFFFFF"/>
        </w:rPr>
        <w:t>, history of infant formula</w:t>
      </w:r>
      <w:r w:rsidR="00D75C87" w:rsidRPr="003D39CB">
        <w:rPr>
          <w:rFonts w:asciiTheme="majorBidi" w:hAnsiTheme="majorBidi" w:cstheme="majorBidi"/>
          <w:color w:val="000000"/>
          <w:sz w:val="24"/>
          <w:szCs w:val="24"/>
          <w:shd w:val="clear" w:color="auto" w:fill="FFFFFF"/>
        </w:rPr>
        <w:t xml:space="preserve">. The exclusion criteria were incomplete records in terms of attributes evaluated in the study. </w:t>
      </w:r>
      <w:r w:rsidRPr="003D39CB">
        <w:rPr>
          <w:rFonts w:asciiTheme="majorBidi" w:hAnsiTheme="majorBidi" w:cstheme="majorBidi"/>
          <w:color w:val="000000"/>
          <w:sz w:val="24"/>
          <w:szCs w:val="24"/>
          <w:shd w:val="clear" w:color="auto" w:fill="FFFFFF"/>
        </w:rPr>
        <w:t>Due to the retrospective nature of the study, the need for informed consent was waived.</w:t>
      </w:r>
      <w:r w:rsidR="00D75C87" w:rsidRPr="003D39CB">
        <w:rPr>
          <w:rFonts w:asciiTheme="majorBidi" w:hAnsiTheme="majorBidi" w:cstheme="majorBidi"/>
          <w:color w:val="000000"/>
          <w:sz w:val="24"/>
          <w:szCs w:val="24"/>
          <w:shd w:val="clear" w:color="auto" w:fill="FFFFFF"/>
        </w:rPr>
        <w:t xml:space="preserve"> </w:t>
      </w:r>
      <w:r w:rsidRPr="003D39CB">
        <w:rPr>
          <w:rFonts w:asciiTheme="majorBidi" w:hAnsiTheme="majorBidi" w:cstheme="majorBidi"/>
          <w:color w:val="000000"/>
          <w:sz w:val="24"/>
          <w:szCs w:val="24"/>
          <w:shd w:val="clear" w:color="auto" w:fill="FFFFFF"/>
        </w:rPr>
        <w:t xml:space="preserve">The study was undertaken after approval of the Ethics Committee of </w:t>
      </w:r>
      <w:r w:rsidR="00D75C87" w:rsidRPr="003D39CB">
        <w:rPr>
          <w:rFonts w:asciiTheme="majorBidi" w:hAnsiTheme="majorBidi" w:cstheme="majorBidi"/>
          <w:color w:val="000000"/>
          <w:sz w:val="24"/>
          <w:szCs w:val="24"/>
          <w:shd w:val="clear" w:color="auto" w:fill="FFFFFF"/>
        </w:rPr>
        <w:t xml:space="preserve">Iran University of Medical Sciences </w:t>
      </w:r>
      <w:r w:rsidRPr="003D39CB">
        <w:rPr>
          <w:rFonts w:asciiTheme="majorBidi" w:hAnsiTheme="majorBidi" w:cstheme="majorBidi"/>
          <w:color w:val="000000"/>
          <w:sz w:val="24"/>
          <w:szCs w:val="24"/>
          <w:shd w:val="clear" w:color="auto" w:fill="FFFFFF"/>
        </w:rPr>
        <w:t>and was conducted in compliance with the Helsinki declaration.</w:t>
      </w:r>
    </w:p>
    <w:p w:rsidR="002500CB" w:rsidRPr="003D39CB" w:rsidRDefault="00E52468" w:rsidP="003D39CB">
      <w:pPr>
        <w:bidi w:val="0"/>
        <w:spacing w:after="0" w:line="480" w:lineRule="auto"/>
        <w:jc w:val="both"/>
        <w:rPr>
          <w:rFonts w:asciiTheme="majorBidi" w:hAnsiTheme="majorBidi" w:cstheme="majorBidi"/>
          <w:color w:val="000000"/>
          <w:sz w:val="24"/>
          <w:szCs w:val="24"/>
          <w:shd w:val="clear" w:color="auto" w:fill="FFFFFF"/>
        </w:rPr>
      </w:pPr>
      <w:proofErr w:type="spellStart"/>
      <w:r w:rsidRPr="003D39CB">
        <w:rPr>
          <w:rFonts w:asciiTheme="majorBidi" w:hAnsiTheme="majorBidi" w:cstheme="majorBidi"/>
          <w:sz w:val="24"/>
          <w:szCs w:val="24"/>
        </w:rPr>
        <w:t>Univariate</w:t>
      </w:r>
      <w:proofErr w:type="spellEnd"/>
      <w:r w:rsidRPr="003D39CB">
        <w:rPr>
          <w:rFonts w:asciiTheme="majorBidi" w:hAnsiTheme="majorBidi" w:cstheme="majorBidi"/>
          <w:sz w:val="24"/>
          <w:szCs w:val="24"/>
        </w:rPr>
        <w:t xml:space="preserve"> logistic regression analysis was used to differentiate potential variables that have an effect on the occurrence of relapse. To control confounders and find the variables related to mortality </w:t>
      </w:r>
      <w:r w:rsidR="005A4245" w:rsidRPr="003D39CB">
        <w:rPr>
          <w:rFonts w:asciiTheme="majorBidi" w:hAnsiTheme="majorBidi" w:cstheme="majorBidi"/>
          <w:sz w:val="24"/>
          <w:szCs w:val="24"/>
        </w:rPr>
        <w:t xml:space="preserve">and brain edema </w:t>
      </w:r>
      <w:r w:rsidRPr="003D39CB">
        <w:rPr>
          <w:rFonts w:asciiTheme="majorBidi" w:hAnsiTheme="majorBidi" w:cstheme="majorBidi"/>
          <w:sz w:val="24"/>
          <w:szCs w:val="24"/>
        </w:rPr>
        <w:t>that fit the final predictive model; a multiple logistic regression analysis was performed. Forward stepwise likelihood ratio method was taken in the selection of final variables in the model. P values less than 0.05 were considered significant. The SPSS statistical software, version 16 (Inc. Chicago, IL) was used to carry out data analyses.</w:t>
      </w:r>
      <w:r w:rsidRPr="003D39CB">
        <w:rPr>
          <w:rFonts w:asciiTheme="majorBidi" w:hAnsiTheme="majorBidi" w:cstheme="majorBidi"/>
          <w:color w:val="000000"/>
          <w:sz w:val="24"/>
          <w:szCs w:val="24"/>
          <w:shd w:val="clear" w:color="auto" w:fill="FFFFFF"/>
        </w:rPr>
        <w:t xml:space="preserve"> </w:t>
      </w:r>
      <w:r w:rsidR="00D56872" w:rsidRPr="003D39CB">
        <w:rPr>
          <w:rFonts w:asciiTheme="majorBidi" w:hAnsiTheme="majorBidi" w:cstheme="majorBidi"/>
          <w:color w:val="000000"/>
          <w:sz w:val="24"/>
          <w:szCs w:val="24"/>
          <w:shd w:val="clear" w:color="auto" w:fill="FFFFFF"/>
        </w:rPr>
        <w:t xml:space="preserve">Our method for the development of a new risk-score for the prediction of </w:t>
      </w:r>
      <w:r w:rsidR="001F781F" w:rsidRPr="003D39CB">
        <w:rPr>
          <w:rFonts w:asciiTheme="majorBidi" w:hAnsiTheme="majorBidi" w:cstheme="majorBidi"/>
          <w:color w:val="000000"/>
          <w:sz w:val="24"/>
          <w:szCs w:val="24"/>
          <w:shd w:val="clear" w:color="auto" w:fill="FFFFFF"/>
        </w:rPr>
        <w:t xml:space="preserve">mortality </w:t>
      </w:r>
      <w:r w:rsidR="005A4245" w:rsidRPr="003D39CB">
        <w:rPr>
          <w:rFonts w:asciiTheme="majorBidi" w:hAnsiTheme="majorBidi" w:cstheme="majorBidi"/>
          <w:color w:val="000000"/>
          <w:sz w:val="24"/>
          <w:szCs w:val="24"/>
          <w:shd w:val="clear" w:color="auto" w:fill="FFFFFF"/>
        </w:rPr>
        <w:t xml:space="preserve">and brain edema </w:t>
      </w:r>
      <w:r w:rsidR="001F781F" w:rsidRPr="003D39CB">
        <w:rPr>
          <w:rFonts w:asciiTheme="majorBidi" w:hAnsiTheme="majorBidi" w:cstheme="majorBidi"/>
          <w:color w:val="000000"/>
          <w:sz w:val="24"/>
          <w:szCs w:val="24"/>
          <w:shd w:val="clear" w:color="auto" w:fill="FFFFFF"/>
        </w:rPr>
        <w:t xml:space="preserve">due to DKA </w:t>
      </w:r>
      <w:r w:rsidR="00D56872" w:rsidRPr="003D39CB">
        <w:rPr>
          <w:rFonts w:asciiTheme="majorBidi" w:hAnsiTheme="majorBidi" w:cstheme="majorBidi"/>
          <w:color w:val="000000"/>
          <w:sz w:val="24"/>
          <w:szCs w:val="24"/>
          <w:shd w:val="clear" w:color="auto" w:fill="FFFFFF"/>
        </w:rPr>
        <w:t>was very similar to the met</w:t>
      </w:r>
      <w:r w:rsidR="001F781F" w:rsidRPr="003D39CB">
        <w:rPr>
          <w:rFonts w:asciiTheme="majorBidi" w:hAnsiTheme="majorBidi" w:cstheme="majorBidi"/>
          <w:color w:val="000000"/>
          <w:sz w:val="24"/>
          <w:szCs w:val="24"/>
          <w:shd w:val="clear" w:color="auto" w:fill="FFFFFF"/>
        </w:rPr>
        <w:t xml:space="preserve">hod previously used by Ho et al (12) and </w:t>
      </w:r>
      <w:proofErr w:type="spellStart"/>
      <w:r w:rsidR="001F781F" w:rsidRPr="003D39CB">
        <w:rPr>
          <w:rFonts w:asciiTheme="majorBidi" w:hAnsiTheme="majorBidi" w:cstheme="majorBidi"/>
          <w:sz w:val="24"/>
          <w:szCs w:val="24"/>
        </w:rPr>
        <w:t>Hosseini</w:t>
      </w:r>
      <w:proofErr w:type="spellEnd"/>
      <w:r w:rsidR="001F781F" w:rsidRPr="003D39CB">
        <w:rPr>
          <w:rFonts w:asciiTheme="majorBidi" w:hAnsiTheme="majorBidi" w:cstheme="majorBidi"/>
          <w:sz w:val="24"/>
          <w:szCs w:val="24"/>
        </w:rPr>
        <w:t xml:space="preserve"> et al</w:t>
      </w:r>
      <w:r w:rsidR="001F781F" w:rsidRPr="003D39CB">
        <w:rPr>
          <w:rFonts w:asciiTheme="majorBidi" w:hAnsiTheme="majorBidi" w:cstheme="majorBidi"/>
          <w:color w:val="000000"/>
          <w:sz w:val="24"/>
          <w:szCs w:val="24"/>
          <w:shd w:val="clear" w:color="auto" w:fill="FFFFFF"/>
        </w:rPr>
        <w:t xml:space="preserve"> (13).</w:t>
      </w:r>
      <w:r w:rsidR="00D56872" w:rsidRPr="003D39CB">
        <w:rPr>
          <w:rFonts w:asciiTheme="majorBidi" w:hAnsiTheme="majorBidi" w:cstheme="majorBidi"/>
          <w:color w:val="000000"/>
          <w:sz w:val="24"/>
          <w:szCs w:val="24"/>
          <w:shd w:val="clear" w:color="auto" w:fill="FFFFFF"/>
        </w:rPr>
        <w:t xml:space="preserve"> Due to the wide range of regression coefficients for each variable in the </w:t>
      </w:r>
      <w:r w:rsidR="00D56872" w:rsidRPr="003D39CB">
        <w:rPr>
          <w:rFonts w:asciiTheme="majorBidi" w:hAnsiTheme="majorBidi" w:cstheme="majorBidi"/>
          <w:color w:val="000000"/>
          <w:sz w:val="24"/>
          <w:szCs w:val="24"/>
          <w:shd w:val="clear" w:color="auto" w:fill="FFFFFF"/>
        </w:rPr>
        <w:lastRenderedPageBreak/>
        <w:t>regression model, ROC curve analysis was used to change quantitative variables to binary variables (according to cut-off points).</w:t>
      </w:r>
      <w:r w:rsidR="001F781F" w:rsidRPr="003D39CB">
        <w:rPr>
          <w:rFonts w:asciiTheme="majorBidi" w:hAnsiTheme="majorBidi" w:cstheme="majorBidi"/>
          <w:color w:val="000000"/>
          <w:sz w:val="24"/>
          <w:szCs w:val="24"/>
          <w:shd w:val="clear" w:color="auto" w:fill="FFFFFF"/>
        </w:rPr>
        <w:t xml:space="preserve"> </w:t>
      </w:r>
      <w:r w:rsidR="00D56872" w:rsidRPr="003D39CB">
        <w:rPr>
          <w:rFonts w:asciiTheme="majorBidi" w:hAnsiTheme="majorBidi" w:cstheme="majorBidi"/>
          <w:color w:val="000000"/>
          <w:sz w:val="24"/>
          <w:szCs w:val="24"/>
          <w:shd w:val="clear" w:color="auto" w:fill="FFFFFF"/>
        </w:rPr>
        <w:t xml:space="preserve">Maximum sensitivity and specificity with strong clinical relevance and </w:t>
      </w:r>
      <w:proofErr w:type="spellStart"/>
      <w:r w:rsidR="00D56872" w:rsidRPr="003D39CB">
        <w:rPr>
          <w:rFonts w:asciiTheme="majorBidi" w:hAnsiTheme="majorBidi" w:cstheme="majorBidi"/>
          <w:color w:val="000000"/>
          <w:sz w:val="24"/>
          <w:szCs w:val="24"/>
          <w:shd w:val="clear" w:color="auto" w:fill="FFFFFF"/>
        </w:rPr>
        <w:t>Youden’s</w:t>
      </w:r>
      <w:proofErr w:type="spellEnd"/>
      <w:r w:rsidR="00D56872" w:rsidRPr="003D39CB">
        <w:rPr>
          <w:rFonts w:asciiTheme="majorBidi" w:hAnsiTheme="majorBidi" w:cstheme="majorBidi"/>
          <w:color w:val="000000"/>
          <w:sz w:val="24"/>
          <w:szCs w:val="24"/>
          <w:shd w:val="clear" w:color="auto" w:fill="FFFFFF"/>
        </w:rPr>
        <w:t xml:space="preserve"> index were the selection criteria of cut-off points. Initially, we determined the absolute values of regression coefficients. </w:t>
      </w:r>
    </w:p>
    <w:p w:rsidR="00A130C6" w:rsidRDefault="00A130C6" w:rsidP="003D39CB">
      <w:pPr>
        <w:bidi w:val="0"/>
        <w:spacing w:after="0" w:line="480" w:lineRule="auto"/>
        <w:jc w:val="both"/>
        <w:rPr>
          <w:rFonts w:asciiTheme="majorBidi" w:hAnsiTheme="majorBidi" w:cstheme="majorBidi"/>
          <w:color w:val="000000"/>
          <w:sz w:val="24"/>
          <w:szCs w:val="24"/>
          <w:shd w:val="clear" w:color="auto" w:fill="FFFFFF"/>
        </w:rPr>
      </w:pPr>
    </w:p>
    <w:p w:rsidR="00E52468" w:rsidRPr="003F45AD" w:rsidRDefault="003F45AD" w:rsidP="00A130C6">
      <w:pPr>
        <w:bidi w:val="0"/>
        <w:spacing w:after="0" w:line="480" w:lineRule="auto"/>
        <w:jc w:val="both"/>
        <w:rPr>
          <w:rFonts w:asciiTheme="majorBidi" w:hAnsiTheme="majorBidi" w:cstheme="majorBidi"/>
          <w:b/>
          <w:bCs/>
          <w:color w:val="000000"/>
          <w:sz w:val="24"/>
          <w:szCs w:val="24"/>
          <w:shd w:val="clear" w:color="auto" w:fill="FFFFFF"/>
        </w:rPr>
      </w:pPr>
      <w:r w:rsidRPr="003F45AD">
        <w:rPr>
          <w:rFonts w:asciiTheme="majorBidi" w:hAnsiTheme="majorBidi" w:cstheme="majorBidi"/>
          <w:b/>
          <w:bCs/>
          <w:color w:val="000000"/>
          <w:sz w:val="24"/>
          <w:szCs w:val="24"/>
          <w:shd w:val="clear" w:color="auto" w:fill="FFFFFF"/>
        </w:rPr>
        <w:t>Results</w:t>
      </w:r>
    </w:p>
    <w:p w:rsidR="00EE4BF6" w:rsidRPr="003D39CB" w:rsidRDefault="00A75D2A" w:rsidP="003D39CB">
      <w:pPr>
        <w:bidi w:val="0"/>
        <w:spacing w:after="0" w:line="480" w:lineRule="auto"/>
        <w:jc w:val="both"/>
        <w:rPr>
          <w:rFonts w:asciiTheme="majorBidi" w:hAnsiTheme="majorBidi" w:cstheme="majorBidi"/>
          <w:sz w:val="24"/>
          <w:szCs w:val="24"/>
        </w:rPr>
      </w:pPr>
      <w:r w:rsidRPr="003D39CB">
        <w:rPr>
          <w:rFonts w:asciiTheme="majorBidi" w:hAnsiTheme="majorBidi" w:cstheme="majorBidi"/>
          <w:color w:val="000000"/>
          <w:sz w:val="24"/>
          <w:szCs w:val="24"/>
          <w:shd w:val="clear" w:color="auto" w:fill="FFFFFF"/>
        </w:rPr>
        <w:t xml:space="preserve">The mean age of children studied was 9.20 ± 3.15 years and 46.4% were male. Regarding clinical manifestations, 43.8% suffered from malaise, 28.6% had nausea and vomiting, 13.4% had weight loss, 8.0% experienced loss of consciousness, 2.7% had abdominal pain, 1.8% suffered dyspnea and 1.8% had hemoptysis. The mean body weigh was 26.34 ± 3.80kg. The time for hospitalization was also 1.29 ± 0.79 days. Totally, 66.1% were the new known case for diabetes. Family history of diabetes was expressed in 34.8%. Overall, in-hospital death occurred in three children with an overall mortality rate of 2.7%. </w:t>
      </w:r>
      <w:r w:rsidR="00A72441" w:rsidRPr="003D39CB">
        <w:rPr>
          <w:rFonts w:asciiTheme="majorBidi" w:hAnsiTheme="majorBidi" w:cstheme="majorBidi"/>
          <w:color w:val="000000"/>
          <w:sz w:val="24"/>
          <w:szCs w:val="24"/>
          <w:shd w:val="clear" w:color="auto" w:fill="FFFFFF"/>
        </w:rPr>
        <w:t>In</w:t>
      </w:r>
      <w:r w:rsidRPr="003D39CB">
        <w:rPr>
          <w:rFonts w:asciiTheme="majorBidi" w:hAnsiTheme="majorBidi" w:cstheme="majorBidi"/>
          <w:color w:val="000000"/>
          <w:sz w:val="24"/>
          <w:szCs w:val="24"/>
          <w:shd w:val="clear" w:color="auto" w:fill="FFFFFF"/>
        </w:rPr>
        <w:t xml:space="preserve"> total, 20 cases (17.9%) suffered from brain edema. </w:t>
      </w:r>
      <w:r w:rsidR="00BF7625" w:rsidRPr="003D39CB">
        <w:rPr>
          <w:rFonts w:asciiTheme="majorBidi" w:hAnsiTheme="majorBidi" w:cstheme="majorBidi"/>
          <w:color w:val="000000"/>
          <w:sz w:val="24"/>
          <w:szCs w:val="24"/>
          <w:shd w:val="clear" w:color="auto" w:fill="FFFFFF"/>
        </w:rPr>
        <w:t>In a</w:t>
      </w:r>
      <w:r w:rsidR="00A97BAB" w:rsidRPr="003D39CB">
        <w:rPr>
          <w:rFonts w:asciiTheme="majorBidi" w:hAnsiTheme="majorBidi" w:cstheme="majorBidi"/>
          <w:color w:val="000000"/>
          <w:sz w:val="24"/>
          <w:szCs w:val="24"/>
          <w:shd w:val="clear" w:color="auto" w:fill="FFFFFF"/>
        </w:rPr>
        <w:t>n</w:t>
      </w:r>
      <w:r w:rsidR="00BF7625" w:rsidRPr="003D39CB">
        <w:rPr>
          <w:rFonts w:asciiTheme="majorBidi" w:hAnsiTheme="majorBidi" w:cstheme="majorBidi"/>
          <w:color w:val="000000"/>
          <w:sz w:val="24"/>
          <w:szCs w:val="24"/>
          <w:shd w:val="clear" w:color="auto" w:fill="FFFFFF"/>
        </w:rPr>
        <w:t xml:space="preserve"> analysis and </w:t>
      </w:r>
      <w:proofErr w:type="spellStart"/>
      <w:r w:rsidR="00BF7625" w:rsidRPr="003D39CB">
        <w:rPr>
          <w:rFonts w:asciiTheme="majorBidi" w:hAnsiTheme="majorBidi" w:cstheme="majorBidi"/>
          <w:color w:val="000000"/>
          <w:sz w:val="24"/>
          <w:szCs w:val="24"/>
          <w:shd w:val="clear" w:color="auto" w:fill="FFFFFF"/>
        </w:rPr>
        <w:t>univariately</w:t>
      </w:r>
      <w:proofErr w:type="spellEnd"/>
      <w:r w:rsidR="00BF7625" w:rsidRPr="003D39CB">
        <w:rPr>
          <w:rFonts w:asciiTheme="majorBidi" w:hAnsiTheme="majorBidi" w:cstheme="majorBidi"/>
          <w:color w:val="000000"/>
          <w:sz w:val="24"/>
          <w:szCs w:val="24"/>
          <w:shd w:val="clear" w:color="auto" w:fill="FFFFFF"/>
        </w:rPr>
        <w:t xml:space="preserve"> comparing baseline variables across the two groups with and without brain edema, the following variables were associated with the likelihood of brain edema:</w:t>
      </w:r>
      <w:r w:rsidR="004028FE" w:rsidRPr="003D39CB">
        <w:rPr>
          <w:rFonts w:asciiTheme="majorBidi" w:hAnsiTheme="majorBidi" w:cstheme="majorBidi"/>
          <w:color w:val="000000"/>
          <w:sz w:val="24"/>
          <w:szCs w:val="24"/>
          <w:shd w:val="clear" w:color="auto" w:fill="FFFFFF"/>
        </w:rPr>
        <w:t xml:space="preserve"> using </w:t>
      </w:r>
      <w:r w:rsidR="00A417E2" w:rsidRPr="003D39CB">
        <w:rPr>
          <w:rFonts w:asciiTheme="majorBidi" w:hAnsiTheme="majorBidi" w:cstheme="majorBidi"/>
          <w:color w:val="000000"/>
          <w:sz w:val="24"/>
          <w:szCs w:val="24"/>
          <w:shd w:val="clear" w:color="auto" w:fill="FFFFFF"/>
        </w:rPr>
        <w:t>baby formula</w:t>
      </w:r>
      <w:r w:rsidR="004028FE" w:rsidRPr="003D39CB">
        <w:rPr>
          <w:rFonts w:asciiTheme="majorBidi" w:hAnsiTheme="majorBidi" w:cstheme="majorBidi"/>
          <w:color w:val="000000"/>
          <w:sz w:val="24"/>
          <w:szCs w:val="24"/>
          <w:shd w:val="clear" w:color="auto" w:fill="FFFFFF"/>
        </w:rPr>
        <w:t xml:space="preserve"> (p = 0.001), low GCS on admission (p = 0.005), tachypnea on admission (p = 0.009), increased inflammatory factors (p &lt; 0.001), </w:t>
      </w:r>
      <w:r w:rsidR="007A65C5" w:rsidRPr="003D39CB">
        <w:rPr>
          <w:rFonts w:asciiTheme="majorBidi" w:hAnsiTheme="majorBidi" w:cstheme="majorBidi"/>
          <w:color w:val="000000"/>
          <w:sz w:val="24"/>
          <w:szCs w:val="24"/>
          <w:shd w:val="clear" w:color="auto" w:fill="FFFFFF"/>
        </w:rPr>
        <w:t>tachycardia on admission (p &lt; 0.001), occurring metabolic acidosis on admission (p = 0.003), leukocytosis (p = 0.003), low serum hemoglobin level (p = 0.020), thrombocytosis (p = 0.007), increased levels of ESR (p = 0.007) and CRP (p = 0.003), increased serum level of creatinine (p = 0.003), increased TSH level (p = 0.015), hypocalcaemia (p &lt; 0.001) and hypophosphatemia (p = 0.005), lowering level of vitamin D (p = 0.002), increased level of hemoglobin A1c (p = 0.006), and decreased urinary specific gravity (p = 0.001).</w:t>
      </w:r>
      <w:r w:rsidR="00A97BAB" w:rsidRPr="003D39CB">
        <w:rPr>
          <w:rFonts w:asciiTheme="majorBidi" w:hAnsiTheme="majorBidi" w:cstheme="majorBidi"/>
          <w:color w:val="000000"/>
          <w:sz w:val="24"/>
          <w:szCs w:val="24"/>
          <w:shd w:val="clear" w:color="auto" w:fill="FFFFFF"/>
        </w:rPr>
        <w:t xml:space="preserve"> In multivariable logistic regression model (Table 1), of all parameters </w:t>
      </w:r>
      <w:proofErr w:type="spellStart"/>
      <w:r w:rsidR="00A97BAB" w:rsidRPr="003D39CB">
        <w:rPr>
          <w:rFonts w:asciiTheme="majorBidi" w:hAnsiTheme="majorBidi" w:cstheme="majorBidi"/>
          <w:color w:val="000000"/>
          <w:sz w:val="24"/>
          <w:szCs w:val="24"/>
          <w:shd w:val="clear" w:color="auto" w:fill="FFFFFF"/>
        </w:rPr>
        <w:t>univariately</w:t>
      </w:r>
      <w:proofErr w:type="spellEnd"/>
      <w:r w:rsidR="00A97BAB" w:rsidRPr="003D39CB">
        <w:rPr>
          <w:rFonts w:asciiTheme="majorBidi" w:hAnsiTheme="majorBidi" w:cstheme="majorBidi"/>
          <w:color w:val="000000"/>
          <w:sz w:val="24"/>
          <w:szCs w:val="24"/>
          <w:shd w:val="clear" w:color="auto" w:fill="FFFFFF"/>
        </w:rPr>
        <w:t xml:space="preserve"> associated with the risk for brain edema evaluated in the current study, only using baby formula (</w:t>
      </w:r>
      <w:r w:rsidR="002500CB" w:rsidRPr="003D39CB">
        <w:rPr>
          <w:rFonts w:asciiTheme="majorBidi" w:hAnsiTheme="majorBidi" w:cstheme="majorBidi"/>
          <w:color w:val="000000"/>
          <w:sz w:val="24"/>
          <w:szCs w:val="24"/>
          <w:shd w:val="clear" w:color="auto" w:fill="FFFFFF"/>
        </w:rPr>
        <w:t xml:space="preserve">OR = </w:t>
      </w:r>
      <w:r w:rsidR="002500CB" w:rsidRPr="003D39CB">
        <w:rPr>
          <w:rFonts w:asciiTheme="majorBidi" w:hAnsiTheme="majorBidi" w:cstheme="majorBidi"/>
          <w:color w:val="000000"/>
          <w:sz w:val="24"/>
          <w:szCs w:val="24"/>
          <w:shd w:val="clear" w:color="auto" w:fill="FFFFFF"/>
        </w:rPr>
        <w:lastRenderedPageBreak/>
        <w:t xml:space="preserve">4.153, </w:t>
      </w:r>
      <w:r w:rsidR="00A97BAB" w:rsidRPr="003D39CB">
        <w:rPr>
          <w:rFonts w:asciiTheme="majorBidi" w:hAnsiTheme="majorBidi" w:cstheme="majorBidi"/>
          <w:color w:val="000000"/>
          <w:sz w:val="24"/>
          <w:szCs w:val="24"/>
          <w:shd w:val="clear" w:color="auto" w:fill="FFFFFF"/>
        </w:rPr>
        <w:t xml:space="preserve">p = </w:t>
      </w:r>
      <w:r w:rsidR="001F473F" w:rsidRPr="003D39CB">
        <w:rPr>
          <w:rFonts w:asciiTheme="majorBidi" w:hAnsiTheme="majorBidi" w:cstheme="majorBidi"/>
          <w:color w:val="000000"/>
          <w:sz w:val="24"/>
          <w:szCs w:val="24"/>
          <w:shd w:val="clear" w:color="auto" w:fill="FFFFFF"/>
        </w:rPr>
        <w:t>0.020), tachypnea on admission (</w:t>
      </w:r>
      <w:r w:rsidR="002500CB" w:rsidRPr="003D39CB">
        <w:rPr>
          <w:rFonts w:asciiTheme="majorBidi" w:hAnsiTheme="majorBidi" w:cstheme="majorBidi"/>
          <w:color w:val="000000"/>
          <w:sz w:val="24"/>
          <w:szCs w:val="24"/>
          <w:shd w:val="clear" w:color="auto" w:fill="FFFFFF"/>
        </w:rPr>
        <w:t xml:space="preserve">OR = 3.342, </w:t>
      </w:r>
      <w:r w:rsidR="001F473F" w:rsidRPr="003D39CB">
        <w:rPr>
          <w:rFonts w:asciiTheme="majorBidi" w:hAnsiTheme="majorBidi" w:cstheme="majorBidi"/>
          <w:color w:val="000000"/>
          <w:sz w:val="24"/>
          <w:szCs w:val="24"/>
          <w:shd w:val="clear" w:color="auto" w:fill="FFFFFF"/>
        </w:rPr>
        <w:t>p = 0.027), and raised serum creatinine (</w:t>
      </w:r>
      <w:r w:rsidR="002500CB" w:rsidRPr="003D39CB">
        <w:rPr>
          <w:rFonts w:asciiTheme="majorBidi" w:hAnsiTheme="majorBidi" w:cstheme="majorBidi"/>
          <w:color w:val="000000"/>
          <w:sz w:val="24"/>
          <w:szCs w:val="24"/>
          <w:shd w:val="clear" w:color="auto" w:fill="FFFFFF"/>
        </w:rPr>
        <w:t xml:space="preserve">OR = 1.658, </w:t>
      </w:r>
      <w:r w:rsidR="001F473F" w:rsidRPr="003D39CB">
        <w:rPr>
          <w:rFonts w:asciiTheme="majorBidi" w:hAnsiTheme="majorBidi" w:cstheme="majorBidi"/>
          <w:color w:val="000000"/>
          <w:sz w:val="24"/>
          <w:szCs w:val="24"/>
          <w:shd w:val="clear" w:color="auto" w:fill="FFFFFF"/>
        </w:rPr>
        <w:t>p = 0.026) could effectively predict the likelihood of brain edema following DKA in children.</w:t>
      </w:r>
      <w:r w:rsidR="00940F13" w:rsidRPr="003D39CB">
        <w:rPr>
          <w:rFonts w:asciiTheme="majorBidi" w:hAnsiTheme="majorBidi" w:cstheme="majorBidi"/>
          <w:color w:val="000000"/>
          <w:sz w:val="24"/>
          <w:szCs w:val="24"/>
          <w:shd w:val="clear" w:color="auto" w:fill="FFFFFF"/>
        </w:rPr>
        <w:t xml:space="preserve"> </w:t>
      </w:r>
      <w:r w:rsidR="002500CB" w:rsidRPr="003D39CB">
        <w:rPr>
          <w:rFonts w:asciiTheme="majorBidi" w:hAnsiTheme="majorBidi" w:cstheme="majorBidi"/>
          <w:color w:val="000000"/>
          <w:sz w:val="24"/>
          <w:szCs w:val="24"/>
          <w:shd w:val="clear" w:color="auto" w:fill="FFFFFF"/>
        </w:rPr>
        <w:t xml:space="preserve">In other word, the presence of each of variable could increase the likelihood of brain edema by about 4, 3 and </w:t>
      </w:r>
      <w:r w:rsidR="0008266A" w:rsidRPr="003D39CB">
        <w:rPr>
          <w:rFonts w:asciiTheme="majorBidi" w:hAnsiTheme="majorBidi" w:cstheme="majorBidi"/>
          <w:color w:val="000000"/>
          <w:sz w:val="24"/>
          <w:szCs w:val="24"/>
          <w:shd w:val="clear" w:color="auto" w:fill="FFFFFF"/>
        </w:rPr>
        <w:t xml:space="preserve">2 </w:t>
      </w:r>
      <w:r w:rsidR="002500CB" w:rsidRPr="003D39CB">
        <w:rPr>
          <w:rFonts w:asciiTheme="majorBidi" w:hAnsiTheme="majorBidi" w:cstheme="majorBidi"/>
          <w:color w:val="000000"/>
          <w:sz w:val="24"/>
          <w:szCs w:val="24"/>
          <w:shd w:val="clear" w:color="auto" w:fill="FFFFFF"/>
        </w:rPr>
        <w:t>times respectively.</w:t>
      </w:r>
      <w:r w:rsidR="0008266A" w:rsidRPr="003D39CB">
        <w:rPr>
          <w:rFonts w:asciiTheme="majorBidi" w:hAnsiTheme="majorBidi" w:cstheme="majorBidi"/>
          <w:color w:val="000000"/>
          <w:sz w:val="24"/>
          <w:szCs w:val="24"/>
          <w:shd w:val="clear" w:color="auto" w:fill="FFFFFF"/>
        </w:rPr>
        <w:t xml:space="preserve"> By considering interactions between the obtained three parameters, the likelihood ratio by considering three interacted variables was 8, and by considering two of three variables, the ratio ranged 5 to 6. </w:t>
      </w:r>
      <w:r w:rsidR="001C37C6" w:rsidRPr="003D39CB">
        <w:rPr>
          <w:rFonts w:asciiTheme="majorBidi" w:hAnsiTheme="majorBidi" w:cstheme="majorBidi"/>
          <w:sz w:val="24"/>
          <w:szCs w:val="24"/>
        </w:rPr>
        <w:t xml:space="preserve">In the present study, </w:t>
      </w:r>
      <w:proofErr w:type="spellStart"/>
      <w:r w:rsidR="001C37C6" w:rsidRPr="003D39CB">
        <w:rPr>
          <w:rFonts w:asciiTheme="majorBidi" w:hAnsiTheme="majorBidi" w:cstheme="majorBidi"/>
          <w:sz w:val="24"/>
          <w:szCs w:val="24"/>
        </w:rPr>
        <w:t>Hosmer-Lemeshow</w:t>
      </w:r>
      <w:proofErr w:type="spellEnd"/>
      <w:r w:rsidR="001C37C6" w:rsidRPr="003D39CB">
        <w:rPr>
          <w:rFonts w:asciiTheme="majorBidi" w:hAnsiTheme="majorBidi" w:cstheme="majorBidi"/>
          <w:sz w:val="24"/>
          <w:szCs w:val="24"/>
        </w:rPr>
        <w:t xml:space="preserve"> statistic as a measure of the goodness of fit of the final model was used. The value of that was 6.61 (P=0.76). Therefore we concluded that the fitted model is satisfactory.</w:t>
      </w:r>
      <w:r w:rsidR="001C37C6" w:rsidRPr="003D39CB">
        <w:rPr>
          <w:rFonts w:asciiTheme="majorBidi" w:hAnsiTheme="majorBidi" w:cstheme="majorBidi"/>
          <w:color w:val="000000"/>
          <w:sz w:val="24"/>
          <w:szCs w:val="24"/>
          <w:shd w:val="clear" w:color="auto" w:fill="FFFFFF"/>
        </w:rPr>
        <w:t xml:space="preserve"> To determine the cutoff value for serum creatinine for predicting brain edema, using the ROC curve analysis led to cutoff point of 0.65mg/dl for serum creatinine with the sensitivity of 80.0% and a specificity of 65.2% (Figure 1). In similar analysis, the best cutoff value of respiratory rate on admission to predict brain edema was &gt;31.5/min yielding a sensitivity of 70.0% and a specificity of 65.2% (Figure 1). </w:t>
      </w:r>
      <w:r w:rsidR="0073711D" w:rsidRPr="003D39CB">
        <w:rPr>
          <w:rFonts w:asciiTheme="majorBidi" w:hAnsiTheme="majorBidi" w:cstheme="majorBidi"/>
          <w:color w:val="000000"/>
          <w:sz w:val="24"/>
          <w:szCs w:val="24"/>
          <w:shd w:val="clear" w:color="auto" w:fill="FFFFFF"/>
        </w:rPr>
        <w:t xml:space="preserve">Thus, the main determinants for occurring brain edema following DKA included the use of baby formula, tachypnea on admission and raised creatinine (&gt;0.65mg/dl). </w:t>
      </w:r>
      <w:r w:rsidR="001C37C6" w:rsidRPr="003D39CB">
        <w:rPr>
          <w:rFonts w:asciiTheme="majorBidi" w:hAnsiTheme="majorBidi" w:cstheme="majorBidi"/>
          <w:sz w:val="24"/>
          <w:szCs w:val="24"/>
        </w:rPr>
        <w:t>According to the method explained in the previous section,</w:t>
      </w:r>
      <w:r w:rsidR="00D81C0A" w:rsidRPr="003D39CB">
        <w:rPr>
          <w:rFonts w:asciiTheme="majorBidi" w:hAnsiTheme="majorBidi" w:cstheme="majorBidi"/>
          <w:sz w:val="24"/>
          <w:szCs w:val="24"/>
        </w:rPr>
        <w:t xml:space="preserve"> the children with all three pointed parameters were scored as 3, two of three parameters scored as 2, one of three parameters scored as 1, and none parameters scored as 0 considering as very high risk</w:t>
      </w:r>
      <w:r w:rsidR="0008266A" w:rsidRPr="003D39CB">
        <w:rPr>
          <w:rFonts w:asciiTheme="majorBidi" w:hAnsiTheme="majorBidi" w:cstheme="majorBidi"/>
          <w:sz w:val="24"/>
          <w:szCs w:val="24"/>
        </w:rPr>
        <w:t xml:space="preserve"> (with 8-fold risk for brain edema)</w:t>
      </w:r>
      <w:r w:rsidR="00D81C0A" w:rsidRPr="003D39CB">
        <w:rPr>
          <w:rFonts w:asciiTheme="majorBidi" w:hAnsiTheme="majorBidi" w:cstheme="majorBidi"/>
          <w:sz w:val="24"/>
          <w:szCs w:val="24"/>
        </w:rPr>
        <w:t>, high risk</w:t>
      </w:r>
      <w:r w:rsidR="0008266A" w:rsidRPr="003D39CB">
        <w:rPr>
          <w:rFonts w:asciiTheme="majorBidi" w:hAnsiTheme="majorBidi" w:cstheme="majorBidi"/>
          <w:sz w:val="24"/>
          <w:szCs w:val="24"/>
        </w:rPr>
        <w:t xml:space="preserve"> (with 5 to 6-fold risk for brain edema)</w:t>
      </w:r>
      <w:r w:rsidR="00D81C0A" w:rsidRPr="003D39CB">
        <w:rPr>
          <w:rFonts w:asciiTheme="majorBidi" w:hAnsiTheme="majorBidi" w:cstheme="majorBidi"/>
          <w:sz w:val="24"/>
          <w:szCs w:val="24"/>
        </w:rPr>
        <w:t xml:space="preserve">, moderate risk </w:t>
      </w:r>
      <w:r w:rsidR="0008266A" w:rsidRPr="003D39CB">
        <w:rPr>
          <w:rFonts w:asciiTheme="majorBidi" w:hAnsiTheme="majorBidi" w:cstheme="majorBidi"/>
          <w:sz w:val="24"/>
          <w:szCs w:val="24"/>
        </w:rPr>
        <w:t xml:space="preserve">(with 2 to 4- fold risk for brain edema) </w:t>
      </w:r>
      <w:r w:rsidR="00D81C0A" w:rsidRPr="003D39CB">
        <w:rPr>
          <w:rFonts w:asciiTheme="majorBidi" w:hAnsiTheme="majorBidi" w:cstheme="majorBidi"/>
          <w:sz w:val="24"/>
          <w:szCs w:val="24"/>
        </w:rPr>
        <w:t>and low ris</w:t>
      </w:r>
      <w:r w:rsidR="0008266A" w:rsidRPr="003D39CB">
        <w:rPr>
          <w:rFonts w:asciiTheme="majorBidi" w:hAnsiTheme="majorBidi" w:cstheme="majorBidi"/>
          <w:sz w:val="24"/>
          <w:szCs w:val="24"/>
        </w:rPr>
        <w:t xml:space="preserve">k for brain edema following DKA. </w:t>
      </w:r>
    </w:p>
    <w:p w:rsidR="00A130C6" w:rsidRDefault="00A130C6" w:rsidP="003D39CB">
      <w:pPr>
        <w:bidi w:val="0"/>
        <w:spacing w:after="0" w:line="480" w:lineRule="auto"/>
        <w:jc w:val="both"/>
        <w:rPr>
          <w:rFonts w:asciiTheme="majorBidi" w:hAnsiTheme="majorBidi" w:cstheme="majorBidi"/>
          <w:sz w:val="24"/>
          <w:szCs w:val="24"/>
        </w:rPr>
      </w:pPr>
    </w:p>
    <w:p w:rsidR="00EE4BF6" w:rsidRPr="003F45AD" w:rsidRDefault="003F45AD" w:rsidP="00A130C6">
      <w:pPr>
        <w:bidi w:val="0"/>
        <w:spacing w:after="0" w:line="480" w:lineRule="auto"/>
        <w:jc w:val="both"/>
        <w:rPr>
          <w:rFonts w:asciiTheme="majorBidi" w:hAnsiTheme="majorBidi" w:cstheme="majorBidi"/>
          <w:b/>
          <w:bCs/>
          <w:sz w:val="24"/>
          <w:szCs w:val="24"/>
        </w:rPr>
      </w:pPr>
      <w:r w:rsidRPr="003F45AD">
        <w:rPr>
          <w:rFonts w:asciiTheme="majorBidi" w:hAnsiTheme="majorBidi" w:cstheme="majorBidi"/>
          <w:b/>
          <w:bCs/>
          <w:sz w:val="24"/>
          <w:szCs w:val="24"/>
        </w:rPr>
        <w:t>Discussion</w:t>
      </w:r>
    </w:p>
    <w:p w:rsidR="00E166CA" w:rsidRPr="003D39CB" w:rsidRDefault="00D81C0A"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sz w:val="24"/>
          <w:szCs w:val="24"/>
        </w:rPr>
        <w:t xml:space="preserve"> </w:t>
      </w:r>
      <w:r w:rsidR="00A417E2" w:rsidRPr="003D39CB">
        <w:rPr>
          <w:rFonts w:asciiTheme="majorBidi" w:hAnsiTheme="majorBidi" w:cstheme="majorBidi"/>
          <w:sz w:val="24"/>
          <w:szCs w:val="24"/>
        </w:rPr>
        <w:t xml:space="preserve">Predicting adverse neurovascular complications due to DKA particularly in children leads to more appropriately management of disease as well as achievement of acceptable patients' survival. Brain edema is a life-threatening adverse event following DKA responsible for high </w:t>
      </w:r>
      <w:r w:rsidR="00A417E2" w:rsidRPr="003D39CB">
        <w:rPr>
          <w:rFonts w:asciiTheme="majorBidi" w:hAnsiTheme="majorBidi" w:cstheme="majorBidi"/>
          <w:sz w:val="24"/>
          <w:szCs w:val="24"/>
        </w:rPr>
        <w:lastRenderedPageBreak/>
        <w:t>mortality rate in case of disease mismanagement. Recently, authors have focused introducing new risk assessment tools for predicting occurrence of brain edema to early prevention of nervous defects and losing consciousness following DKA. According to our survey, although several clinical and laboratory parameters have been identified to predict risk for brain edema, in multivariable modeling and with the presence of confounders and considering interactions between the variables, only three parameters of using baby formula, history of</w:t>
      </w:r>
      <w:r w:rsidR="00A417E2" w:rsidRPr="003D39CB">
        <w:rPr>
          <w:rFonts w:asciiTheme="majorBidi" w:hAnsiTheme="majorBidi" w:cstheme="majorBidi"/>
          <w:color w:val="000000"/>
          <w:sz w:val="24"/>
          <w:szCs w:val="24"/>
          <w:shd w:val="clear" w:color="auto" w:fill="FFFFFF"/>
        </w:rPr>
        <w:t xml:space="preserve"> tachypnea on admission and raised serum creatinine could effectively predict the risk for brain edema. Using multivariable modeling, we obtained new scoring system for stratifying the patients suffering DKA with regard to the risk for brain edema and thus we could divided the patients as very high risk, high risk, moderate risk and low risk for occurring brain edema following DKA based on the three pointed parameters. </w:t>
      </w:r>
      <w:r w:rsidR="00E166CA" w:rsidRPr="003D39CB">
        <w:rPr>
          <w:rFonts w:asciiTheme="majorBidi" w:hAnsiTheme="majorBidi" w:cstheme="majorBidi"/>
          <w:color w:val="000000"/>
          <w:sz w:val="24"/>
          <w:szCs w:val="24"/>
          <w:shd w:val="clear" w:color="auto" w:fill="FFFFFF"/>
        </w:rPr>
        <w:t xml:space="preserve">According to this fact three parameters could be easily assessed on admission, stratifying children with respect to the odds for brain edema is facilitated. </w:t>
      </w:r>
    </w:p>
    <w:p w:rsidR="00166AAE" w:rsidRPr="003D39CB" w:rsidRDefault="00E166CA"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color w:val="000000"/>
          <w:sz w:val="24"/>
          <w:szCs w:val="24"/>
          <w:shd w:val="clear" w:color="auto" w:fill="FFFFFF"/>
        </w:rPr>
        <w:t>Regarding feeding with formula and in fact not breastfeeding, it has been well demonstrated that for infants, not being breastfed is associated with an increased incidence of type I diabetes mellitus and its related complications (14</w:t>
      </w:r>
      <w:proofErr w:type="gramStart"/>
      <w:r w:rsidRPr="003D39CB">
        <w:rPr>
          <w:rFonts w:asciiTheme="majorBidi" w:hAnsiTheme="majorBidi" w:cstheme="majorBidi"/>
          <w:color w:val="000000"/>
          <w:sz w:val="24"/>
          <w:szCs w:val="24"/>
          <w:shd w:val="clear" w:color="auto" w:fill="FFFFFF"/>
        </w:rPr>
        <w:t>,15</w:t>
      </w:r>
      <w:proofErr w:type="gramEnd"/>
      <w:r w:rsidRPr="003D39CB">
        <w:rPr>
          <w:rFonts w:asciiTheme="majorBidi" w:hAnsiTheme="majorBidi" w:cstheme="majorBidi"/>
          <w:color w:val="000000"/>
          <w:sz w:val="24"/>
          <w:szCs w:val="24"/>
          <w:shd w:val="clear" w:color="auto" w:fill="FFFFFF"/>
        </w:rPr>
        <w:t>). Epidemiologic studies suggested that children who are formula fed in infancy are more likely to become diabetic. In fact, the studies have reported an association between exposure to cow’s milk antigen and development of type 1 diabetes (16</w:t>
      </w:r>
      <w:proofErr w:type="gramStart"/>
      <w:r w:rsidRPr="003D39CB">
        <w:rPr>
          <w:rFonts w:asciiTheme="majorBidi" w:hAnsiTheme="majorBidi" w:cstheme="majorBidi"/>
          <w:color w:val="000000"/>
          <w:sz w:val="24"/>
          <w:szCs w:val="24"/>
          <w:shd w:val="clear" w:color="auto" w:fill="FFFFFF"/>
        </w:rPr>
        <w:t>,17</w:t>
      </w:r>
      <w:proofErr w:type="gramEnd"/>
      <w:r w:rsidRPr="003D39CB">
        <w:rPr>
          <w:rFonts w:asciiTheme="majorBidi" w:hAnsiTheme="majorBidi" w:cstheme="majorBidi"/>
          <w:color w:val="000000"/>
          <w:sz w:val="24"/>
          <w:szCs w:val="24"/>
          <w:shd w:val="clear" w:color="auto" w:fill="FFFFFF"/>
        </w:rPr>
        <w:t xml:space="preserve">). However </w:t>
      </w:r>
      <w:r w:rsidR="00C73802" w:rsidRPr="003D39CB">
        <w:rPr>
          <w:rFonts w:asciiTheme="majorBidi" w:hAnsiTheme="majorBidi" w:cstheme="majorBidi"/>
          <w:color w:val="000000"/>
          <w:sz w:val="24"/>
          <w:szCs w:val="24"/>
          <w:shd w:val="clear" w:color="auto" w:fill="FFFFFF"/>
        </w:rPr>
        <w:t>little</w:t>
      </w:r>
      <w:r w:rsidRPr="003D39CB">
        <w:rPr>
          <w:rFonts w:asciiTheme="majorBidi" w:hAnsiTheme="majorBidi" w:cstheme="majorBidi"/>
          <w:color w:val="000000"/>
          <w:sz w:val="24"/>
          <w:szCs w:val="24"/>
          <w:shd w:val="clear" w:color="auto" w:fill="FFFFFF"/>
        </w:rPr>
        <w:t xml:space="preserve"> evidence is now available on the effect of formula on </w:t>
      </w:r>
      <w:r w:rsidR="00C73802" w:rsidRPr="003D39CB">
        <w:rPr>
          <w:rFonts w:asciiTheme="majorBidi" w:hAnsiTheme="majorBidi" w:cstheme="majorBidi"/>
          <w:color w:val="000000"/>
          <w:sz w:val="24"/>
          <w:szCs w:val="24"/>
          <w:shd w:val="clear" w:color="auto" w:fill="FFFFFF"/>
        </w:rPr>
        <w:t>neurovascular system. However, according to our observation, prolonged use of formula can notably increase the likelihood of brain edema probably due to its indirect effects on central nervous system metabolic disturbances as well as the ch</w:t>
      </w:r>
      <w:r w:rsidR="00A832EA" w:rsidRPr="003D39CB">
        <w:rPr>
          <w:rFonts w:asciiTheme="majorBidi" w:hAnsiTheme="majorBidi" w:cstheme="majorBidi"/>
          <w:color w:val="000000"/>
          <w:sz w:val="24"/>
          <w:szCs w:val="24"/>
          <w:shd w:val="clear" w:color="auto" w:fill="FFFFFF"/>
        </w:rPr>
        <w:t>a</w:t>
      </w:r>
      <w:r w:rsidR="00C73802" w:rsidRPr="003D39CB">
        <w:rPr>
          <w:rFonts w:asciiTheme="majorBidi" w:hAnsiTheme="majorBidi" w:cstheme="majorBidi"/>
          <w:color w:val="000000"/>
          <w:sz w:val="24"/>
          <w:szCs w:val="24"/>
          <w:shd w:val="clear" w:color="auto" w:fill="FFFFFF"/>
        </w:rPr>
        <w:t>nge in</w:t>
      </w:r>
      <w:r w:rsidR="00A832EA" w:rsidRPr="003D39CB">
        <w:rPr>
          <w:rFonts w:asciiTheme="majorBidi" w:hAnsiTheme="majorBidi" w:cstheme="majorBidi"/>
          <w:color w:val="000000"/>
          <w:sz w:val="24"/>
          <w:szCs w:val="24"/>
          <w:shd w:val="clear" w:color="auto" w:fill="FFFFFF"/>
        </w:rPr>
        <w:t xml:space="preserve"> </w:t>
      </w:r>
      <w:proofErr w:type="spellStart"/>
      <w:r w:rsidR="00A832EA" w:rsidRPr="003D39CB">
        <w:rPr>
          <w:rFonts w:asciiTheme="majorBidi" w:hAnsiTheme="majorBidi" w:cstheme="majorBidi"/>
          <w:color w:val="000000"/>
          <w:sz w:val="24"/>
          <w:szCs w:val="24"/>
          <w:shd w:val="clear" w:color="auto" w:fill="FFFFFF"/>
        </w:rPr>
        <w:t>osmolar</w:t>
      </w:r>
      <w:proofErr w:type="spellEnd"/>
      <w:r w:rsidR="00A832EA" w:rsidRPr="003D39CB">
        <w:rPr>
          <w:rFonts w:asciiTheme="majorBidi" w:hAnsiTheme="majorBidi" w:cstheme="majorBidi"/>
          <w:color w:val="000000"/>
          <w:sz w:val="24"/>
          <w:szCs w:val="24"/>
          <w:shd w:val="clear" w:color="auto" w:fill="FFFFFF"/>
        </w:rPr>
        <w:t xml:space="preserve"> gradient. </w:t>
      </w:r>
      <w:r w:rsidR="00B61909" w:rsidRPr="003D39CB">
        <w:rPr>
          <w:rFonts w:asciiTheme="majorBidi" w:hAnsiTheme="majorBidi" w:cstheme="majorBidi"/>
          <w:color w:val="000000"/>
          <w:sz w:val="24"/>
          <w:szCs w:val="24"/>
          <w:shd w:val="clear" w:color="auto" w:fill="FFFFFF"/>
        </w:rPr>
        <w:t xml:space="preserve">Regarding association between tachypnea and risk for brain edema, the close link between intracranial pressure and </w:t>
      </w:r>
      <w:r w:rsidR="00B61909" w:rsidRPr="003D39CB">
        <w:rPr>
          <w:rFonts w:asciiTheme="majorBidi" w:hAnsiTheme="majorBidi" w:cstheme="majorBidi"/>
          <w:sz w:val="24"/>
          <w:szCs w:val="24"/>
        </w:rPr>
        <w:t>abnormal neurogenic respiratory pattern</w:t>
      </w:r>
      <w:r w:rsidR="00B61909" w:rsidRPr="003D39CB">
        <w:rPr>
          <w:rFonts w:asciiTheme="majorBidi" w:hAnsiTheme="majorBidi" w:cstheme="majorBidi"/>
          <w:color w:val="000000"/>
          <w:sz w:val="24"/>
          <w:szCs w:val="24"/>
          <w:shd w:val="clear" w:color="auto" w:fill="FFFFFF"/>
        </w:rPr>
        <w:t xml:space="preserve"> is expected (18). In a study by    et al (19), of the 12 cases reviewed suffering cerebral edema, two warning </w:t>
      </w:r>
      <w:r w:rsidR="00B61909" w:rsidRPr="003D39CB">
        <w:rPr>
          <w:rFonts w:asciiTheme="majorBidi" w:hAnsiTheme="majorBidi" w:cstheme="majorBidi"/>
          <w:color w:val="000000"/>
          <w:sz w:val="24"/>
          <w:szCs w:val="24"/>
          <w:shd w:val="clear" w:color="auto" w:fill="FFFFFF"/>
        </w:rPr>
        <w:lastRenderedPageBreak/>
        <w:t>signs of neurological compromise or increased intracranial pressure were dropping the heart rate and the a sudden and persistent tachypnea.</w:t>
      </w:r>
      <w:r w:rsidR="008D6A27" w:rsidRPr="003D39CB">
        <w:rPr>
          <w:rFonts w:asciiTheme="majorBidi" w:hAnsiTheme="majorBidi" w:cstheme="majorBidi"/>
          <w:color w:val="000000"/>
          <w:sz w:val="24"/>
          <w:szCs w:val="24"/>
          <w:shd w:val="clear" w:color="auto" w:fill="FFFFFF"/>
        </w:rPr>
        <w:t xml:space="preserve"> Tachypnea is due to hyperventilation to compensate metabolic acidosis and metabolic acidosis is own has a close relationship with cerebral edema. It has been shown that hypersonic respiratory acidosis causes cerebral vasodilation via perivascular extracellular pH changes that can precipitate global cerebral edema even in the absence of acute brain injury (20). In addition, several evidences are available with regard to association between the risk for brain edema and renal failure evidenced by raising serum creatinine level. Diffuse interstitial brain edema has been shown in patients with renal failure </w:t>
      </w:r>
      <w:r w:rsidR="00166AAE" w:rsidRPr="003D39CB">
        <w:rPr>
          <w:rFonts w:asciiTheme="majorBidi" w:hAnsiTheme="majorBidi" w:cstheme="majorBidi"/>
          <w:color w:val="000000"/>
          <w:sz w:val="24"/>
          <w:szCs w:val="24"/>
          <w:shd w:val="clear" w:color="auto" w:fill="FFFFFF"/>
        </w:rPr>
        <w:t xml:space="preserve">due to impaired brain perfusion bed </w:t>
      </w:r>
      <w:r w:rsidR="008D6A27" w:rsidRPr="003D39CB">
        <w:rPr>
          <w:rFonts w:asciiTheme="majorBidi" w:hAnsiTheme="majorBidi" w:cstheme="majorBidi"/>
          <w:color w:val="000000"/>
          <w:sz w:val="24"/>
          <w:szCs w:val="24"/>
          <w:shd w:val="clear" w:color="auto" w:fill="FFFFFF"/>
        </w:rPr>
        <w:t>leading cognitive impairment</w:t>
      </w:r>
      <w:r w:rsidR="00166AAE" w:rsidRPr="003D39CB">
        <w:rPr>
          <w:rFonts w:asciiTheme="majorBidi" w:hAnsiTheme="majorBidi" w:cstheme="majorBidi"/>
          <w:color w:val="000000"/>
          <w:sz w:val="24"/>
          <w:szCs w:val="24"/>
          <w:shd w:val="clear" w:color="auto" w:fill="FFFFFF"/>
        </w:rPr>
        <w:t xml:space="preserve"> in such patients (21). A summing on pointed evidences, the potential predicting role of using formula, raised creatinine and initial tachypnea can be considered as a triad for predicting DKA children prone to cerebral edema. In this regard, early identifying high risk children with DKA for brain edema can be considered for all children admitted to emergency wards or hospitalized and thus early prevention of occurring edema in such patients should be planned. </w:t>
      </w:r>
    </w:p>
    <w:p w:rsidR="00A130C6" w:rsidRDefault="00A130C6" w:rsidP="003D39CB">
      <w:pPr>
        <w:bidi w:val="0"/>
        <w:spacing w:after="0" w:line="480" w:lineRule="auto"/>
        <w:jc w:val="both"/>
        <w:rPr>
          <w:rFonts w:asciiTheme="majorBidi" w:hAnsiTheme="majorBidi" w:cstheme="majorBidi"/>
          <w:color w:val="000000"/>
          <w:sz w:val="24"/>
          <w:szCs w:val="24"/>
          <w:shd w:val="clear" w:color="auto" w:fill="FFFFFF"/>
        </w:rPr>
      </w:pPr>
    </w:p>
    <w:p w:rsidR="00166AAE" w:rsidRPr="003F45AD" w:rsidRDefault="003F45AD" w:rsidP="00A130C6">
      <w:pPr>
        <w:bidi w:val="0"/>
        <w:spacing w:after="0" w:line="480" w:lineRule="auto"/>
        <w:jc w:val="both"/>
        <w:rPr>
          <w:rFonts w:asciiTheme="majorBidi" w:hAnsiTheme="majorBidi" w:cstheme="majorBidi"/>
          <w:b/>
          <w:bCs/>
          <w:color w:val="000000"/>
          <w:sz w:val="24"/>
          <w:szCs w:val="24"/>
          <w:shd w:val="clear" w:color="auto" w:fill="FFFFFF"/>
        </w:rPr>
      </w:pPr>
      <w:r w:rsidRPr="003F45AD">
        <w:rPr>
          <w:rFonts w:asciiTheme="majorBidi" w:hAnsiTheme="majorBidi" w:cstheme="majorBidi"/>
          <w:b/>
          <w:bCs/>
          <w:color w:val="000000"/>
          <w:sz w:val="24"/>
          <w:szCs w:val="24"/>
          <w:shd w:val="clear" w:color="auto" w:fill="FFFFFF"/>
        </w:rPr>
        <w:t>Conclusion</w:t>
      </w:r>
    </w:p>
    <w:p w:rsidR="008D6A27" w:rsidRPr="003D39CB" w:rsidRDefault="00166AAE"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color w:val="000000"/>
          <w:sz w:val="24"/>
          <w:szCs w:val="24"/>
          <w:shd w:val="clear" w:color="auto" w:fill="FFFFFF"/>
        </w:rPr>
        <w:t xml:space="preserve">Our study could present a new scoring system for early identifying children prone to cerebral edema following DKA. This scoring system considers triad of history of using formula, tachypnea on admission and raised serum creatinine and thus could stratify DKA patients to low, moderate, high and very high risk for cerebral edema. By considering this new stratification scoring system, early identification of high risk group and early management of such patients with the goal of preventing cerebral edema and thus its life-threatening sequel is possible.   </w:t>
      </w:r>
      <w:r w:rsidR="008D6A27" w:rsidRPr="003D39CB">
        <w:rPr>
          <w:rFonts w:asciiTheme="majorBidi" w:hAnsiTheme="majorBidi" w:cstheme="majorBidi"/>
          <w:color w:val="000000"/>
          <w:sz w:val="24"/>
          <w:szCs w:val="24"/>
          <w:shd w:val="clear" w:color="auto" w:fill="FFFFFF"/>
        </w:rPr>
        <w:t xml:space="preserve">  </w:t>
      </w:r>
    </w:p>
    <w:p w:rsidR="00A130C6" w:rsidRDefault="00A130C6"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p>
    <w:p w:rsidR="00F36FA4" w:rsidRPr="00F36FA4" w:rsidRDefault="00F36FA4" w:rsidP="00F36FA4">
      <w:pPr>
        <w:bidi w:val="0"/>
        <w:spacing w:line="360" w:lineRule="auto"/>
        <w:jc w:val="both"/>
        <w:rPr>
          <w:rFonts w:asciiTheme="majorBidi" w:hAnsiTheme="majorBidi" w:cstheme="majorBidi"/>
          <w:b/>
          <w:bCs/>
          <w:sz w:val="24"/>
          <w:szCs w:val="24"/>
        </w:rPr>
      </w:pPr>
      <w:r w:rsidRPr="00F36FA4">
        <w:rPr>
          <w:rFonts w:asciiTheme="majorBidi" w:hAnsiTheme="majorBidi" w:cstheme="majorBidi"/>
          <w:b/>
          <w:bCs/>
          <w:sz w:val="24"/>
          <w:szCs w:val="24"/>
        </w:rPr>
        <w:lastRenderedPageBreak/>
        <w:t>Acknowledgement</w:t>
      </w:r>
    </w:p>
    <w:p w:rsidR="00F36FA4" w:rsidRPr="00F36FA4" w:rsidRDefault="00F36FA4" w:rsidP="00F36FA4">
      <w:pPr>
        <w:bidi w:val="0"/>
        <w:spacing w:line="360" w:lineRule="auto"/>
        <w:rPr>
          <w:rFonts w:asciiTheme="majorBidi" w:hAnsiTheme="majorBidi" w:cstheme="majorBidi"/>
          <w:b/>
          <w:bCs/>
          <w:sz w:val="24"/>
          <w:szCs w:val="24"/>
        </w:rPr>
      </w:pPr>
      <w:r w:rsidRPr="00F36FA4">
        <w:rPr>
          <w:rFonts w:asciiTheme="majorBidi" w:hAnsiTheme="majorBidi" w:cstheme="majorBidi"/>
          <w:sz w:val="24"/>
          <w:szCs w:val="24"/>
        </w:rPr>
        <w:t>The authors would like to thank Ali Asghar Clinical Research Development Center (AACRDC), for assistance.</w:t>
      </w:r>
      <w:r w:rsidRPr="00F36FA4">
        <w:rPr>
          <w:rFonts w:asciiTheme="majorBidi" w:hAnsiTheme="majorBidi" w:cstheme="majorBidi"/>
          <w:sz w:val="24"/>
          <w:szCs w:val="24"/>
        </w:rPr>
        <w:br/>
        <w:t> </w:t>
      </w:r>
    </w:p>
    <w:p w:rsidR="00A26504" w:rsidRPr="003F45AD" w:rsidRDefault="003F45AD" w:rsidP="003D39CB">
      <w:pPr>
        <w:pStyle w:val="desc"/>
        <w:shd w:val="clear" w:color="auto" w:fill="FFFFFF"/>
        <w:spacing w:before="0" w:beforeAutospacing="0" w:after="0" w:afterAutospacing="0" w:line="480" w:lineRule="auto"/>
        <w:jc w:val="both"/>
        <w:rPr>
          <w:rFonts w:asciiTheme="majorBidi" w:eastAsiaTheme="minorHAnsi" w:hAnsiTheme="majorBidi" w:cstheme="majorBidi"/>
          <w:b/>
          <w:bCs/>
        </w:rPr>
      </w:pPr>
      <w:r w:rsidRPr="003F45AD">
        <w:rPr>
          <w:rFonts w:asciiTheme="majorBidi" w:eastAsiaTheme="minorHAnsi" w:hAnsiTheme="majorBidi" w:cstheme="majorBidi"/>
          <w:b/>
          <w:bCs/>
        </w:rPr>
        <w:t>References</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 </w:t>
      </w:r>
      <w:proofErr w:type="spellStart"/>
      <w:r w:rsidRPr="003D39CB">
        <w:rPr>
          <w:rFonts w:asciiTheme="majorBidi" w:eastAsiaTheme="minorHAnsi" w:hAnsiTheme="majorBidi" w:cstheme="majorBidi"/>
        </w:rPr>
        <w:t>Pinkey</w:t>
      </w:r>
      <w:proofErr w:type="spellEnd"/>
      <w:r w:rsidRPr="003D39CB">
        <w:rPr>
          <w:rFonts w:asciiTheme="majorBidi" w:eastAsiaTheme="minorHAnsi" w:hAnsiTheme="majorBidi" w:cstheme="majorBidi"/>
        </w:rPr>
        <w:t xml:space="preserve"> JH, Bingley PJ, </w:t>
      </w:r>
      <w:proofErr w:type="spellStart"/>
      <w:r w:rsidRPr="003D39CB">
        <w:rPr>
          <w:rFonts w:asciiTheme="majorBidi" w:eastAsiaTheme="minorHAnsi" w:hAnsiTheme="majorBidi" w:cstheme="majorBidi"/>
        </w:rPr>
        <w:t>Sawtell</w:t>
      </w:r>
      <w:proofErr w:type="spellEnd"/>
      <w:r w:rsidRPr="003D39CB">
        <w:rPr>
          <w:rFonts w:asciiTheme="majorBidi" w:eastAsiaTheme="minorHAnsi" w:hAnsiTheme="majorBidi" w:cstheme="majorBidi"/>
        </w:rPr>
        <w:t xml:space="preserve"> PA, </w:t>
      </w:r>
      <w:proofErr w:type="spellStart"/>
      <w:r w:rsidRPr="003D39CB">
        <w:rPr>
          <w:rFonts w:asciiTheme="majorBidi" w:eastAsiaTheme="minorHAnsi" w:hAnsiTheme="majorBidi" w:cstheme="majorBidi"/>
        </w:rPr>
        <w:t>Dunger</w:t>
      </w:r>
      <w:proofErr w:type="spellEnd"/>
      <w:r w:rsidRPr="003D39CB">
        <w:rPr>
          <w:rFonts w:asciiTheme="majorBidi" w:eastAsiaTheme="minorHAnsi" w:hAnsiTheme="majorBidi" w:cstheme="majorBidi"/>
        </w:rPr>
        <w:t xml:space="preserve"> DB, Gale EA. Presentation and progress of childhood diabetes mellitus: a prospective population-based study. The Bart’s-Oxford Study Group. </w:t>
      </w:r>
      <w:proofErr w:type="spellStart"/>
      <w:r w:rsidRPr="003D39CB">
        <w:rPr>
          <w:rFonts w:asciiTheme="majorBidi" w:eastAsiaTheme="minorHAnsi" w:hAnsiTheme="majorBidi" w:cstheme="majorBidi"/>
        </w:rPr>
        <w:t>Diabetologia</w:t>
      </w:r>
      <w:proofErr w:type="spellEnd"/>
      <w:r w:rsidRPr="003D39CB">
        <w:rPr>
          <w:rFonts w:asciiTheme="majorBidi" w:eastAsiaTheme="minorHAnsi" w:hAnsiTheme="majorBidi" w:cstheme="majorBidi"/>
        </w:rPr>
        <w:t xml:space="preserve"> 1994</w:t>
      </w:r>
      <w:proofErr w:type="gramStart"/>
      <w:r w:rsidRPr="003D39CB">
        <w:rPr>
          <w:rFonts w:asciiTheme="majorBidi" w:eastAsiaTheme="minorHAnsi" w:hAnsiTheme="majorBidi" w:cstheme="majorBidi"/>
        </w:rPr>
        <w:t>;37:70</w:t>
      </w:r>
      <w:proofErr w:type="gramEnd"/>
      <w:r w:rsidRPr="003D39CB">
        <w:rPr>
          <w:rFonts w:asciiTheme="majorBidi" w:eastAsiaTheme="minorHAnsi" w:hAnsiTheme="majorBidi" w:cstheme="majorBidi"/>
        </w:rPr>
        <w:t>–4.</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2. </w:t>
      </w:r>
      <w:proofErr w:type="spellStart"/>
      <w:r w:rsidRPr="003D39CB">
        <w:rPr>
          <w:rFonts w:asciiTheme="majorBidi" w:eastAsiaTheme="minorHAnsi" w:hAnsiTheme="majorBidi" w:cstheme="majorBidi"/>
        </w:rPr>
        <w:t>Rewers</w:t>
      </w:r>
      <w:proofErr w:type="spellEnd"/>
      <w:r w:rsidRPr="003D39CB">
        <w:rPr>
          <w:rFonts w:asciiTheme="majorBidi" w:eastAsiaTheme="minorHAnsi" w:hAnsiTheme="majorBidi" w:cstheme="majorBidi"/>
        </w:rPr>
        <w:t xml:space="preserve"> A, Chase HP, Mackenzie T, </w:t>
      </w:r>
      <w:proofErr w:type="spellStart"/>
      <w:r w:rsidRPr="003D39CB">
        <w:rPr>
          <w:rFonts w:asciiTheme="majorBidi" w:eastAsiaTheme="minorHAnsi" w:hAnsiTheme="majorBidi" w:cstheme="majorBidi"/>
        </w:rPr>
        <w:t>Walravens</w:t>
      </w:r>
      <w:proofErr w:type="spellEnd"/>
      <w:r w:rsidRPr="003D39CB">
        <w:rPr>
          <w:rFonts w:asciiTheme="majorBidi" w:eastAsiaTheme="minorHAnsi" w:hAnsiTheme="majorBidi" w:cstheme="majorBidi"/>
        </w:rPr>
        <w:t xml:space="preserve"> P, </w:t>
      </w:r>
      <w:proofErr w:type="spellStart"/>
      <w:r w:rsidRPr="003D39CB">
        <w:rPr>
          <w:rFonts w:asciiTheme="majorBidi" w:eastAsiaTheme="minorHAnsi" w:hAnsiTheme="majorBidi" w:cstheme="majorBidi"/>
        </w:rPr>
        <w:t>Roback</w:t>
      </w:r>
      <w:proofErr w:type="spellEnd"/>
      <w:r w:rsidRPr="003D39CB">
        <w:rPr>
          <w:rFonts w:asciiTheme="majorBidi" w:eastAsiaTheme="minorHAnsi" w:hAnsiTheme="majorBidi" w:cstheme="majorBidi"/>
        </w:rPr>
        <w:t xml:space="preserve"> M, </w:t>
      </w:r>
      <w:proofErr w:type="spellStart"/>
      <w:r w:rsidRPr="003D39CB">
        <w:rPr>
          <w:rFonts w:asciiTheme="majorBidi" w:eastAsiaTheme="minorHAnsi" w:hAnsiTheme="majorBidi" w:cstheme="majorBidi"/>
        </w:rPr>
        <w:t>Rewers</w:t>
      </w:r>
      <w:proofErr w:type="spellEnd"/>
      <w:r w:rsidRPr="003D39CB">
        <w:rPr>
          <w:rFonts w:asciiTheme="majorBidi" w:eastAsiaTheme="minorHAnsi" w:hAnsiTheme="majorBidi" w:cstheme="majorBidi"/>
        </w:rPr>
        <w:t xml:space="preserve"> M, et al. Predictors of acute complications in children with type 1 diabetes. JAMA 2002</w:t>
      </w:r>
      <w:proofErr w:type="gramStart"/>
      <w:r w:rsidRPr="003D39CB">
        <w:rPr>
          <w:rFonts w:asciiTheme="majorBidi" w:eastAsiaTheme="minorHAnsi" w:hAnsiTheme="majorBidi" w:cstheme="majorBidi"/>
        </w:rPr>
        <w:t>;287:2511</w:t>
      </w:r>
      <w:proofErr w:type="gramEnd"/>
      <w:r w:rsidRPr="003D39CB">
        <w:rPr>
          <w:rFonts w:asciiTheme="majorBidi" w:eastAsiaTheme="minorHAnsi" w:hAnsiTheme="majorBidi" w:cstheme="majorBidi"/>
        </w:rPr>
        <w:t>–8.</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3. Patel A, Singh D, Bhatt P, Thakkar B, </w:t>
      </w:r>
      <w:proofErr w:type="spellStart"/>
      <w:r w:rsidRPr="003D39CB">
        <w:rPr>
          <w:rFonts w:asciiTheme="majorBidi" w:eastAsiaTheme="minorHAnsi" w:hAnsiTheme="majorBidi" w:cstheme="majorBidi"/>
        </w:rPr>
        <w:t>Akingbola</w:t>
      </w:r>
      <w:proofErr w:type="spellEnd"/>
      <w:r w:rsidRPr="003D39CB">
        <w:rPr>
          <w:rFonts w:asciiTheme="majorBidi" w:eastAsiaTheme="minorHAnsi" w:hAnsiTheme="majorBidi" w:cstheme="majorBidi"/>
        </w:rPr>
        <w:t xml:space="preserve"> OA, </w:t>
      </w:r>
      <w:proofErr w:type="spellStart"/>
      <w:r w:rsidRPr="003D39CB">
        <w:rPr>
          <w:rFonts w:asciiTheme="majorBidi" w:eastAsiaTheme="minorHAnsi" w:hAnsiTheme="majorBidi" w:cstheme="majorBidi"/>
        </w:rPr>
        <w:t>Srivastav</w:t>
      </w:r>
      <w:proofErr w:type="spellEnd"/>
      <w:r w:rsidRPr="003D39CB">
        <w:rPr>
          <w:rFonts w:asciiTheme="majorBidi" w:eastAsiaTheme="minorHAnsi" w:hAnsiTheme="majorBidi" w:cstheme="majorBidi"/>
        </w:rPr>
        <w:t xml:space="preserve"> SK. Incidence, Trends, and Outcomes of Cerebral Edema Among Children With Diabetic Ketoacidosis in the United States. </w:t>
      </w:r>
      <w:proofErr w:type="spellStart"/>
      <w:r w:rsidRPr="003D39CB">
        <w:rPr>
          <w:rFonts w:asciiTheme="majorBidi" w:eastAsiaTheme="minorHAnsi" w:hAnsiTheme="majorBidi" w:cstheme="majorBidi"/>
        </w:rPr>
        <w:t>Clin</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Pediatr</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Phila</w:t>
      </w:r>
      <w:proofErr w:type="spellEnd"/>
      <w:r w:rsidRPr="003D39CB">
        <w:rPr>
          <w:rFonts w:asciiTheme="majorBidi" w:eastAsiaTheme="minorHAnsi" w:hAnsiTheme="majorBidi" w:cstheme="majorBidi"/>
        </w:rPr>
        <w:t>). 2016 Sep</w:t>
      </w:r>
      <w:proofErr w:type="gramStart"/>
      <w:r w:rsidRPr="003D39CB">
        <w:rPr>
          <w:rFonts w:asciiTheme="majorBidi" w:eastAsiaTheme="minorHAnsi" w:hAnsiTheme="majorBidi" w:cstheme="majorBidi"/>
        </w:rPr>
        <w:t>;55</w:t>
      </w:r>
      <w:proofErr w:type="gramEnd"/>
      <w:r w:rsidRPr="003D39CB">
        <w:rPr>
          <w:rFonts w:asciiTheme="majorBidi" w:eastAsiaTheme="minorHAnsi" w:hAnsiTheme="majorBidi" w:cstheme="majorBidi"/>
        </w:rPr>
        <w:t>(10):943-51.</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4.  </w:t>
      </w:r>
      <w:proofErr w:type="spellStart"/>
      <w:r w:rsidRPr="003D39CB">
        <w:rPr>
          <w:rFonts w:asciiTheme="majorBidi" w:eastAsiaTheme="minorHAnsi" w:hAnsiTheme="majorBidi" w:cstheme="majorBidi"/>
        </w:rPr>
        <w:t>Jayashree</w:t>
      </w:r>
      <w:proofErr w:type="spellEnd"/>
      <w:r w:rsidRPr="003D39CB">
        <w:rPr>
          <w:rFonts w:asciiTheme="majorBidi" w:eastAsiaTheme="minorHAnsi" w:hAnsiTheme="majorBidi" w:cstheme="majorBidi"/>
        </w:rPr>
        <w:t xml:space="preserve"> M, </w:t>
      </w:r>
      <w:proofErr w:type="spellStart"/>
      <w:r w:rsidRPr="003D39CB">
        <w:rPr>
          <w:rFonts w:asciiTheme="majorBidi" w:eastAsiaTheme="minorHAnsi" w:hAnsiTheme="majorBidi" w:cstheme="majorBidi"/>
        </w:rPr>
        <w:t>Singhi</w:t>
      </w:r>
      <w:proofErr w:type="spellEnd"/>
      <w:r w:rsidRPr="003D39CB">
        <w:rPr>
          <w:rFonts w:asciiTheme="majorBidi" w:eastAsiaTheme="minorHAnsi" w:hAnsiTheme="majorBidi" w:cstheme="majorBidi"/>
        </w:rPr>
        <w:t xml:space="preserve"> S. Diabetic ketoacidosis: predictors of outcome in a pediatric intensive care unit of a developing country. </w:t>
      </w:r>
      <w:proofErr w:type="spellStart"/>
      <w:r w:rsidRPr="003D39CB">
        <w:rPr>
          <w:rFonts w:asciiTheme="majorBidi" w:eastAsiaTheme="minorHAnsi" w:hAnsiTheme="majorBidi" w:cstheme="majorBidi"/>
        </w:rPr>
        <w:t>Pediatr</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Crit</w:t>
      </w:r>
      <w:proofErr w:type="spellEnd"/>
      <w:r w:rsidRPr="003D39CB">
        <w:rPr>
          <w:rFonts w:asciiTheme="majorBidi" w:eastAsiaTheme="minorHAnsi" w:hAnsiTheme="majorBidi" w:cstheme="majorBidi"/>
        </w:rPr>
        <w:t xml:space="preserve"> Care Med. 2004 Sep</w:t>
      </w:r>
      <w:proofErr w:type="gramStart"/>
      <w:r w:rsidRPr="003D39CB">
        <w:rPr>
          <w:rFonts w:asciiTheme="majorBidi" w:eastAsiaTheme="minorHAnsi" w:hAnsiTheme="majorBidi" w:cstheme="majorBidi"/>
        </w:rPr>
        <w:t>;5</w:t>
      </w:r>
      <w:proofErr w:type="gramEnd"/>
      <w:r w:rsidRPr="003D39CB">
        <w:rPr>
          <w:rFonts w:asciiTheme="majorBidi" w:eastAsiaTheme="minorHAnsi" w:hAnsiTheme="majorBidi" w:cstheme="majorBidi"/>
        </w:rPr>
        <w:t>(5):427-33.</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5. </w:t>
      </w:r>
      <w:hyperlink r:id="rId7" w:history="1">
        <w:proofErr w:type="spellStart"/>
        <w:r w:rsidRPr="003D39CB">
          <w:rPr>
            <w:rFonts w:asciiTheme="majorBidi" w:eastAsiaTheme="minorHAnsi" w:hAnsiTheme="majorBidi" w:cstheme="majorBidi"/>
          </w:rPr>
          <w:t>Szypowska</w:t>
        </w:r>
        <w:proofErr w:type="spellEnd"/>
        <w:r w:rsidRPr="003D39CB">
          <w:rPr>
            <w:rFonts w:asciiTheme="majorBidi" w:eastAsiaTheme="minorHAnsi" w:hAnsiTheme="majorBidi" w:cstheme="majorBidi"/>
          </w:rPr>
          <w:t xml:space="preserve"> A</w:t>
        </w:r>
      </w:hyperlink>
      <w:r w:rsidRPr="003D39CB">
        <w:rPr>
          <w:rFonts w:asciiTheme="majorBidi" w:eastAsiaTheme="minorHAnsi" w:hAnsiTheme="majorBidi" w:cstheme="majorBidi"/>
        </w:rPr>
        <w:t>1, </w:t>
      </w:r>
      <w:proofErr w:type="spellStart"/>
      <w:r w:rsidR="00AD079F">
        <w:fldChar w:fldCharType="begin"/>
      </w:r>
      <w:r w:rsidR="00AD079F">
        <w:instrText xml:space="preserve"> HYPERLINK "https://www.ncbi.nlm.nih.gov/pubmed/?term=Sk%C3%B3rka%20A%5BAuthor%5D&amp;cauthor=true&amp;cauthor_uid=21129138" </w:instrText>
      </w:r>
      <w:r w:rsidR="00AD079F">
        <w:fldChar w:fldCharType="separate"/>
      </w:r>
      <w:r w:rsidRPr="003D39CB">
        <w:rPr>
          <w:rFonts w:asciiTheme="majorBidi" w:eastAsiaTheme="minorHAnsi" w:hAnsiTheme="majorBidi" w:cstheme="majorBidi"/>
        </w:rPr>
        <w:t>Skórka</w:t>
      </w:r>
      <w:proofErr w:type="spellEnd"/>
      <w:r w:rsidRPr="003D39CB">
        <w:rPr>
          <w:rFonts w:asciiTheme="majorBidi" w:eastAsiaTheme="minorHAnsi" w:hAnsiTheme="majorBidi" w:cstheme="majorBidi"/>
        </w:rPr>
        <w:t xml:space="preserve"> A</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xml:space="preserve">. The risk factors of ketoacidosis in children with newly diagnosed type 1 diabetes mellitus. </w:t>
      </w:r>
      <w:hyperlink r:id="rId8" w:history="1">
        <w:proofErr w:type="spellStart"/>
        <w:r w:rsidRPr="003D39CB">
          <w:rPr>
            <w:rFonts w:asciiTheme="majorBidi" w:eastAsiaTheme="minorHAnsi" w:hAnsiTheme="majorBidi" w:cstheme="majorBidi"/>
          </w:rPr>
          <w:t>Szypowska</w:t>
        </w:r>
        <w:proofErr w:type="spellEnd"/>
        <w:r w:rsidRPr="003D39CB">
          <w:rPr>
            <w:rFonts w:asciiTheme="majorBidi" w:eastAsiaTheme="minorHAnsi" w:hAnsiTheme="majorBidi" w:cstheme="majorBidi"/>
          </w:rPr>
          <w:t xml:space="preserve"> A</w:t>
        </w:r>
      </w:hyperlink>
      <w:r w:rsidRPr="003D39CB">
        <w:rPr>
          <w:rFonts w:asciiTheme="majorBidi" w:eastAsiaTheme="minorHAnsi" w:hAnsiTheme="majorBidi" w:cstheme="majorBidi"/>
        </w:rPr>
        <w:t>1, </w:t>
      </w:r>
      <w:proofErr w:type="spellStart"/>
      <w:r w:rsidR="00AD079F">
        <w:fldChar w:fldCharType="begin"/>
      </w:r>
      <w:r w:rsidR="00AD079F">
        <w:instrText xml:space="preserve"> HYPERLINK "https://www.ncbi.nlm.nih.gov/pubmed/?term=Sk%C3%B3rka%20A%5BAuth</w:instrText>
      </w:r>
      <w:r w:rsidR="00AD079F">
        <w:instrText xml:space="preserve">or%5D&amp;cauthor=true&amp;cauthor_uid=21129138" </w:instrText>
      </w:r>
      <w:r w:rsidR="00AD079F">
        <w:fldChar w:fldCharType="separate"/>
      </w:r>
      <w:r w:rsidRPr="003D39CB">
        <w:rPr>
          <w:rFonts w:asciiTheme="majorBidi" w:eastAsiaTheme="minorHAnsi" w:hAnsiTheme="majorBidi" w:cstheme="majorBidi"/>
        </w:rPr>
        <w:t>Skórka</w:t>
      </w:r>
      <w:proofErr w:type="spellEnd"/>
      <w:r w:rsidRPr="003D39CB">
        <w:rPr>
          <w:rFonts w:asciiTheme="majorBidi" w:eastAsiaTheme="minorHAnsi" w:hAnsiTheme="majorBidi" w:cstheme="majorBidi"/>
        </w:rPr>
        <w:t xml:space="preserve"> A</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6. </w:t>
      </w:r>
      <w:hyperlink r:id="rId9" w:history="1">
        <w:r w:rsidRPr="003D39CB">
          <w:rPr>
            <w:rFonts w:asciiTheme="majorBidi" w:eastAsiaTheme="minorHAnsi" w:hAnsiTheme="majorBidi" w:cstheme="majorBidi"/>
          </w:rPr>
          <w:t xml:space="preserve">de </w:t>
        </w:r>
        <w:proofErr w:type="spellStart"/>
        <w:r w:rsidRPr="003D39CB">
          <w:rPr>
            <w:rFonts w:asciiTheme="majorBidi" w:eastAsiaTheme="minorHAnsi" w:hAnsiTheme="majorBidi" w:cstheme="majorBidi"/>
          </w:rPr>
          <w:t>Vries</w:t>
        </w:r>
        <w:proofErr w:type="spellEnd"/>
        <w:r w:rsidRPr="003D39CB">
          <w:rPr>
            <w:rFonts w:asciiTheme="majorBidi" w:eastAsiaTheme="minorHAnsi" w:hAnsiTheme="majorBidi" w:cstheme="majorBidi"/>
          </w:rPr>
          <w:t xml:space="preserve"> L</w:t>
        </w:r>
      </w:hyperlink>
      <w:r w:rsidRPr="003D39CB">
        <w:rPr>
          <w:rFonts w:asciiTheme="majorBidi" w:eastAsiaTheme="minorHAnsi" w:hAnsiTheme="majorBidi" w:cstheme="majorBidi"/>
        </w:rPr>
        <w:t>1, </w:t>
      </w:r>
      <w:hyperlink r:id="rId10" w:history="1">
        <w:r w:rsidRPr="003D39CB">
          <w:rPr>
            <w:rFonts w:asciiTheme="majorBidi" w:eastAsiaTheme="minorHAnsi" w:hAnsiTheme="majorBidi" w:cstheme="majorBidi"/>
          </w:rPr>
          <w:t>Oren L</w:t>
        </w:r>
      </w:hyperlink>
      <w:r w:rsidRPr="003D39CB">
        <w:rPr>
          <w:rFonts w:asciiTheme="majorBidi" w:eastAsiaTheme="minorHAnsi" w:hAnsiTheme="majorBidi" w:cstheme="majorBidi"/>
        </w:rPr>
        <w:t>, </w:t>
      </w:r>
      <w:hyperlink r:id="rId11" w:history="1">
        <w:r w:rsidRPr="003D39CB">
          <w:rPr>
            <w:rFonts w:asciiTheme="majorBidi" w:eastAsiaTheme="minorHAnsi" w:hAnsiTheme="majorBidi" w:cstheme="majorBidi"/>
          </w:rPr>
          <w:t>Lazar L</w:t>
        </w:r>
      </w:hyperlink>
      <w:r w:rsidRPr="003D39CB">
        <w:rPr>
          <w:rFonts w:asciiTheme="majorBidi" w:eastAsiaTheme="minorHAnsi" w:hAnsiTheme="majorBidi" w:cstheme="majorBidi"/>
        </w:rPr>
        <w:t>, </w:t>
      </w:r>
      <w:proofErr w:type="spellStart"/>
      <w:r w:rsidR="00AD079F">
        <w:fldChar w:fldCharType="begin"/>
      </w:r>
      <w:r w:rsidR="00AD079F">
        <w:instrText xml:space="preserve"> HYPERLINK "https://www.ncbi.nlm.nih.gov/pubmed/?term=Lebenthal%20Y%5BAuthor%5D</w:instrText>
      </w:r>
      <w:r w:rsidR="00AD079F">
        <w:instrText xml:space="preserve">&amp;cauthor=true&amp;cauthor_uid=23758313" </w:instrText>
      </w:r>
      <w:r w:rsidR="00AD079F">
        <w:fldChar w:fldCharType="separate"/>
      </w:r>
      <w:r w:rsidRPr="003D39CB">
        <w:rPr>
          <w:rFonts w:asciiTheme="majorBidi" w:eastAsiaTheme="minorHAnsi" w:hAnsiTheme="majorBidi" w:cstheme="majorBidi"/>
        </w:rPr>
        <w:t>Lebenthal</w:t>
      </w:r>
      <w:proofErr w:type="spellEnd"/>
      <w:r w:rsidRPr="003D39CB">
        <w:rPr>
          <w:rFonts w:asciiTheme="majorBidi" w:eastAsiaTheme="minorHAnsi" w:hAnsiTheme="majorBidi" w:cstheme="majorBidi"/>
        </w:rPr>
        <w:t xml:space="preserve"> Y</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w:t>
      </w:r>
      <w:proofErr w:type="spellStart"/>
      <w:r w:rsidR="00AD079F">
        <w:fldChar w:fldCharType="begin"/>
      </w:r>
      <w:r w:rsidR="00AD079F">
        <w:instrText xml:space="preserve"> HYPERLINK "https://www.ncbi.nlm.nih.gov/pubmed/?term=Shalitin%20S%5BAuthor%5D&amp;cauthor=true&amp;cauthor_uid=23758313" </w:instrText>
      </w:r>
      <w:r w:rsidR="00AD079F">
        <w:fldChar w:fldCharType="separate"/>
      </w:r>
      <w:r w:rsidRPr="003D39CB">
        <w:rPr>
          <w:rFonts w:asciiTheme="majorBidi" w:eastAsiaTheme="minorHAnsi" w:hAnsiTheme="majorBidi" w:cstheme="majorBidi"/>
        </w:rPr>
        <w:t>Shalitin</w:t>
      </w:r>
      <w:proofErr w:type="spellEnd"/>
      <w:r w:rsidRPr="003D39CB">
        <w:rPr>
          <w:rFonts w:asciiTheme="majorBidi" w:eastAsiaTheme="minorHAnsi" w:hAnsiTheme="majorBidi" w:cstheme="majorBidi"/>
        </w:rPr>
        <w:t xml:space="preserve"> S</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w:t>
      </w:r>
      <w:hyperlink r:id="rId12" w:history="1">
        <w:r w:rsidRPr="003D39CB">
          <w:rPr>
            <w:rFonts w:asciiTheme="majorBidi" w:eastAsiaTheme="minorHAnsi" w:hAnsiTheme="majorBidi" w:cstheme="majorBidi"/>
          </w:rPr>
          <w:t>Phillip M</w:t>
        </w:r>
      </w:hyperlink>
      <w:r w:rsidRPr="003D39CB">
        <w:rPr>
          <w:rFonts w:asciiTheme="majorBidi" w:eastAsiaTheme="minorHAnsi" w:hAnsiTheme="majorBidi" w:cstheme="majorBidi"/>
        </w:rPr>
        <w:t xml:space="preserve">. Factors associated with diabetic ketoacidosis at onset of Type 1 diabetes in children and adolescents. </w:t>
      </w:r>
      <w:hyperlink r:id="rId13" w:tooltip="Diabetic medicine : a journal of the British Diabetic Association." w:history="1">
        <w:proofErr w:type="spellStart"/>
        <w:r w:rsidRPr="003D39CB">
          <w:rPr>
            <w:rFonts w:asciiTheme="majorBidi" w:eastAsiaTheme="minorHAnsi" w:hAnsiTheme="majorBidi" w:cstheme="majorBidi"/>
          </w:rPr>
          <w:t>Diabet</w:t>
        </w:r>
        <w:proofErr w:type="spellEnd"/>
        <w:r w:rsidRPr="003D39CB">
          <w:rPr>
            <w:rFonts w:asciiTheme="majorBidi" w:eastAsiaTheme="minorHAnsi" w:hAnsiTheme="majorBidi" w:cstheme="majorBidi"/>
          </w:rPr>
          <w:t xml:space="preserve"> Med.</w:t>
        </w:r>
      </w:hyperlink>
      <w:r w:rsidRPr="003D39CB">
        <w:rPr>
          <w:rFonts w:asciiTheme="majorBidi" w:eastAsiaTheme="minorHAnsi" w:hAnsiTheme="majorBidi" w:cstheme="majorBidi"/>
        </w:rPr>
        <w:t> 2013 Nov</w:t>
      </w:r>
      <w:proofErr w:type="gramStart"/>
      <w:r w:rsidRPr="003D39CB">
        <w:rPr>
          <w:rFonts w:asciiTheme="majorBidi" w:eastAsiaTheme="minorHAnsi" w:hAnsiTheme="majorBidi" w:cstheme="majorBidi"/>
        </w:rPr>
        <w:t>;30</w:t>
      </w:r>
      <w:proofErr w:type="gramEnd"/>
      <w:r w:rsidRPr="003D39CB">
        <w:rPr>
          <w:rFonts w:asciiTheme="majorBidi" w:eastAsiaTheme="minorHAnsi" w:hAnsiTheme="majorBidi" w:cstheme="majorBidi"/>
        </w:rPr>
        <w:t xml:space="preserve">(11):1360-6.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xml:space="preserve">: 10.1111/dme.12252. </w:t>
      </w:r>
      <w:proofErr w:type="spellStart"/>
      <w:r w:rsidRPr="003D39CB">
        <w:rPr>
          <w:rFonts w:asciiTheme="majorBidi" w:eastAsiaTheme="minorHAnsi" w:hAnsiTheme="majorBidi" w:cstheme="majorBidi"/>
        </w:rPr>
        <w:t>Epub</w:t>
      </w:r>
      <w:proofErr w:type="spellEnd"/>
      <w:r w:rsidRPr="003D39CB">
        <w:rPr>
          <w:rFonts w:asciiTheme="majorBidi" w:eastAsiaTheme="minorHAnsi" w:hAnsiTheme="majorBidi" w:cstheme="majorBidi"/>
        </w:rPr>
        <w:t xml:space="preserve"> 2013 Jul 9.</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7. </w:t>
      </w:r>
      <w:hyperlink r:id="rId14" w:history="1">
        <w:proofErr w:type="spellStart"/>
        <w:r w:rsidRPr="003D39CB">
          <w:rPr>
            <w:rFonts w:asciiTheme="majorBidi" w:eastAsiaTheme="minorHAnsi" w:hAnsiTheme="majorBidi" w:cstheme="majorBidi"/>
          </w:rPr>
          <w:t>Atkilt</w:t>
        </w:r>
        <w:proofErr w:type="spellEnd"/>
        <w:r w:rsidRPr="003D39CB">
          <w:rPr>
            <w:rFonts w:asciiTheme="majorBidi" w:eastAsiaTheme="minorHAnsi" w:hAnsiTheme="majorBidi" w:cstheme="majorBidi"/>
          </w:rPr>
          <w:t xml:space="preserve"> HS</w:t>
        </w:r>
      </w:hyperlink>
      <w:r w:rsidRPr="003D39CB">
        <w:rPr>
          <w:rFonts w:asciiTheme="majorBidi" w:eastAsiaTheme="minorHAnsi" w:hAnsiTheme="majorBidi" w:cstheme="majorBidi"/>
        </w:rPr>
        <w:t>1, </w:t>
      </w:r>
      <w:proofErr w:type="spellStart"/>
      <w:r w:rsidR="00AD079F">
        <w:fldChar w:fldCharType="begin"/>
      </w:r>
      <w:r w:rsidR="00AD079F">
        <w:instrText xml:space="preserve"> HYPERLINK "http</w:instrText>
      </w:r>
      <w:r w:rsidR="00AD079F">
        <w:instrText xml:space="preserve">s://www.ncbi.nlm.nih.gov/pubmed/?term=Turago%20MG%5BAuthor%5D&amp;cauthor=true&amp;cauthor_uid=28135278" </w:instrText>
      </w:r>
      <w:r w:rsidR="00AD079F">
        <w:fldChar w:fldCharType="separate"/>
      </w:r>
      <w:r w:rsidRPr="003D39CB">
        <w:rPr>
          <w:rFonts w:asciiTheme="majorBidi" w:eastAsiaTheme="minorHAnsi" w:hAnsiTheme="majorBidi" w:cstheme="majorBidi"/>
        </w:rPr>
        <w:t>Turago</w:t>
      </w:r>
      <w:proofErr w:type="spellEnd"/>
      <w:r w:rsidRPr="003D39CB">
        <w:rPr>
          <w:rFonts w:asciiTheme="majorBidi" w:eastAsiaTheme="minorHAnsi" w:hAnsiTheme="majorBidi" w:cstheme="majorBidi"/>
        </w:rPr>
        <w:t xml:space="preserve"> MG</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2, </w:t>
      </w:r>
      <w:proofErr w:type="spellStart"/>
      <w:r w:rsidR="00AD079F">
        <w:fldChar w:fldCharType="begin"/>
      </w:r>
      <w:r w:rsidR="00AD079F">
        <w:instrText xml:space="preserve"> HYPERLINK "https://www.ncbi.nlm.nih.gov/pubmed/?term=Tegegne%20BS%5BAuthor%5D&amp;cauthor=true&amp;cauthor_uid=28135278" </w:instrText>
      </w:r>
      <w:r w:rsidR="00AD079F">
        <w:fldChar w:fldCharType="separate"/>
      </w:r>
      <w:r w:rsidRPr="003D39CB">
        <w:rPr>
          <w:rFonts w:asciiTheme="majorBidi" w:eastAsiaTheme="minorHAnsi" w:hAnsiTheme="majorBidi" w:cstheme="majorBidi"/>
        </w:rPr>
        <w:t>Tegegne</w:t>
      </w:r>
      <w:proofErr w:type="spellEnd"/>
      <w:r w:rsidRPr="003D39CB">
        <w:rPr>
          <w:rFonts w:asciiTheme="majorBidi" w:eastAsiaTheme="minorHAnsi" w:hAnsiTheme="majorBidi" w:cstheme="majorBidi"/>
        </w:rPr>
        <w:t xml:space="preserve"> BS</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xml:space="preserve">3. Clinical Characteristics of Diabetic Ketoacidosis in Children with Newly Diagnosed Type 1 Diabetes in Addis Ababa, Ethiopia: A Cross-Sectional Study. </w:t>
      </w:r>
      <w:hyperlink r:id="rId15" w:tooltip="PloS one." w:history="1">
        <w:proofErr w:type="spellStart"/>
        <w:r w:rsidRPr="003D39CB">
          <w:rPr>
            <w:rFonts w:asciiTheme="majorBidi" w:eastAsiaTheme="minorHAnsi" w:hAnsiTheme="majorBidi" w:cstheme="majorBidi"/>
          </w:rPr>
          <w:t>PLoS</w:t>
        </w:r>
        <w:proofErr w:type="spellEnd"/>
        <w:r w:rsidRPr="003D39CB">
          <w:rPr>
            <w:rFonts w:asciiTheme="majorBidi" w:eastAsiaTheme="minorHAnsi" w:hAnsiTheme="majorBidi" w:cstheme="majorBidi"/>
          </w:rPr>
          <w:t xml:space="preserve"> One.</w:t>
        </w:r>
      </w:hyperlink>
      <w:r w:rsidRPr="003D39CB">
        <w:rPr>
          <w:rFonts w:asciiTheme="majorBidi" w:eastAsiaTheme="minorHAnsi" w:hAnsiTheme="majorBidi" w:cstheme="majorBidi"/>
        </w:rPr>
        <w:t> 2017 Jan 30</w:t>
      </w:r>
      <w:proofErr w:type="gramStart"/>
      <w:r w:rsidRPr="003D39CB">
        <w:rPr>
          <w:rFonts w:asciiTheme="majorBidi" w:eastAsiaTheme="minorHAnsi" w:hAnsiTheme="majorBidi" w:cstheme="majorBidi"/>
        </w:rPr>
        <w:t>;12</w:t>
      </w:r>
      <w:proofErr w:type="gramEnd"/>
      <w:r w:rsidRPr="003D39CB">
        <w:rPr>
          <w:rFonts w:asciiTheme="majorBidi" w:eastAsiaTheme="minorHAnsi" w:hAnsiTheme="majorBidi" w:cstheme="majorBidi"/>
        </w:rPr>
        <w:t xml:space="preserve">(1):e0169666.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xml:space="preserve">: 10.1371/journal.pone.0169666. </w:t>
      </w:r>
      <w:proofErr w:type="spellStart"/>
      <w:proofErr w:type="gramStart"/>
      <w:r w:rsidRPr="003D39CB">
        <w:rPr>
          <w:rFonts w:asciiTheme="majorBidi" w:eastAsiaTheme="minorHAnsi" w:hAnsiTheme="majorBidi" w:cstheme="majorBidi"/>
        </w:rPr>
        <w:t>eCollection</w:t>
      </w:r>
      <w:proofErr w:type="spellEnd"/>
      <w:proofErr w:type="gramEnd"/>
      <w:r w:rsidRPr="003D39CB">
        <w:rPr>
          <w:rFonts w:asciiTheme="majorBidi" w:eastAsiaTheme="minorHAnsi" w:hAnsiTheme="majorBidi" w:cstheme="majorBidi"/>
        </w:rPr>
        <w:t xml:space="preserve"> 2017.</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8. </w:t>
      </w:r>
      <w:hyperlink r:id="rId16" w:history="1">
        <w:r w:rsidRPr="003D39CB">
          <w:rPr>
            <w:rFonts w:asciiTheme="majorBidi" w:eastAsiaTheme="minorHAnsi" w:hAnsiTheme="majorBidi" w:cstheme="majorBidi"/>
          </w:rPr>
          <w:t>Lee HJ</w:t>
        </w:r>
      </w:hyperlink>
      <w:r w:rsidRPr="003D39CB">
        <w:rPr>
          <w:rFonts w:asciiTheme="majorBidi" w:eastAsiaTheme="minorHAnsi" w:hAnsiTheme="majorBidi" w:cstheme="majorBidi"/>
        </w:rPr>
        <w:t>1, </w:t>
      </w:r>
      <w:hyperlink r:id="rId17" w:history="1">
        <w:r w:rsidRPr="003D39CB">
          <w:rPr>
            <w:rFonts w:asciiTheme="majorBidi" w:eastAsiaTheme="minorHAnsi" w:hAnsiTheme="majorBidi" w:cstheme="majorBidi"/>
          </w:rPr>
          <w:t>Yu HW</w:t>
        </w:r>
      </w:hyperlink>
      <w:r w:rsidRPr="003D39CB">
        <w:rPr>
          <w:rFonts w:asciiTheme="majorBidi" w:eastAsiaTheme="minorHAnsi" w:hAnsiTheme="majorBidi" w:cstheme="majorBidi"/>
        </w:rPr>
        <w:t>1, </w:t>
      </w:r>
      <w:hyperlink r:id="rId18" w:history="1">
        <w:r w:rsidRPr="003D39CB">
          <w:rPr>
            <w:rFonts w:asciiTheme="majorBidi" w:eastAsiaTheme="minorHAnsi" w:hAnsiTheme="majorBidi" w:cstheme="majorBidi"/>
          </w:rPr>
          <w:t>Jung HW</w:t>
        </w:r>
      </w:hyperlink>
      <w:r w:rsidRPr="003D39CB">
        <w:rPr>
          <w:rFonts w:asciiTheme="majorBidi" w:eastAsiaTheme="minorHAnsi" w:hAnsiTheme="majorBidi" w:cstheme="majorBidi"/>
        </w:rPr>
        <w:t>2, </w:t>
      </w:r>
      <w:hyperlink r:id="rId19" w:history="1">
        <w:r w:rsidRPr="003D39CB">
          <w:rPr>
            <w:rFonts w:asciiTheme="majorBidi" w:eastAsiaTheme="minorHAnsi" w:hAnsiTheme="majorBidi" w:cstheme="majorBidi"/>
          </w:rPr>
          <w:t>Lee YA</w:t>
        </w:r>
      </w:hyperlink>
      <w:r w:rsidRPr="003D39CB">
        <w:rPr>
          <w:rFonts w:asciiTheme="majorBidi" w:eastAsiaTheme="minorHAnsi" w:hAnsiTheme="majorBidi" w:cstheme="majorBidi"/>
        </w:rPr>
        <w:t>1, </w:t>
      </w:r>
      <w:hyperlink r:id="rId20" w:history="1">
        <w:r w:rsidRPr="003D39CB">
          <w:rPr>
            <w:rFonts w:asciiTheme="majorBidi" w:eastAsiaTheme="minorHAnsi" w:hAnsiTheme="majorBidi" w:cstheme="majorBidi"/>
          </w:rPr>
          <w:t>Kim JH</w:t>
        </w:r>
      </w:hyperlink>
      <w:r w:rsidRPr="003D39CB">
        <w:rPr>
          <w:rFonts w:asciiTheme="majorBidi" w:eastAsiaTheme="minorHAnsi" w:hAnsiTheme="majorBidi" w:cstheme="majorBidi"/>
        </w:rPr>
        <w:t>3, </w:t>
      </w:r>
      <w:hyperlink r:id="rId21" w:history="1">
        <w:r w:rsidRPr="003D39CB">
          <w:rPr>
            <w:rFonts w:asciiTheme="majorBidi" w:eastAsiaTheme="minorHAnsi" w:hAnsiTheme="majorBidi" w:cstheme="majorBidi"/>
          </w:rPr>
          <w:t>Chung HR</w:t>
        </w:r>
      </w:hyperlink>
      <w:r w:rsidRPr="003D39CB">
        <w:rPr>
          <w:rFonts w:asciiTheme="majorBidi" w:eastAsiaTheme="minorHAnsi" w:hAnsiTheme="majorBidi" w:cstheme="majorBidi"/>
        </w:rPr>
        <w:t>4, </w:t>
      </w:r>
      <w:proofErr w:type="spellStart"/>
      <w:r w:rsidR="00AD079F">
        <w:fldChar w:fldCharType="begin"/>
      </w:r>
      <w:r w:rsidR="00AD079F">
        <w:instrText xml:space="preserve"> HYPERLINK "https://www.ncbi.nlm.nih.gov/pubmed/?term=Yoo%20J%5BAuthor%5D&amp;cauthor=true&amp;cauthor_uid=28049242" </w:instrText>
      </w:r>
      <w:r w:rsidR="00AD079F">
        <w:fldChar w:fldCharType="separate"/>
      </w:r>
      <w:r w:rsidRPr="003D39CB">
        <w:rPr>
          <w:rFonts w:asciiTheme="majorBidi" w:eastAsiaTheme="minorHAnsi" w:hAnsiTheme="majorBidi" w:cstheme="majorBidi"/>
        </w:rPr>
        <w:t>Yoo</w:t>
      </w:r>
      <w:proofErr w:type="spellEnd"/>
      <w:r w:rsidRPr="003D39CB">
        <w:rPr>
          <w:rFonts w:asciiTheme="majorBidi" w:eastAsiaTheme="minorHAnsi" w:hAnsiTheme="majorBidi" w:cstheme="majorBidi"/>
        </w:rPr>
        <w:t xml:space="preserve"> J</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5, </w:t>
      </w:r>
      <w:hyperlink r:id="rId22" w:history="1">
        <w:r w:rsidRPr="003D39CB">
          <w:rPr>
            <w:rFonts w:asciiTheme="majorBidi" w:eastAsiaTheme="minorHAnsi" w:hAnsiTheme="majorBidi" w:cstheme="majorBidi"/>
          </w:rPr>
          <w:t>Kim E</w:t>
        </w:r>
      </w:hyperlink>
      <w:r w:rsidRPr="003D39CB">
        <w:rPr>
          <w:rFonts w:asciiTheme="majorBidi" w:eastAsiaTheme="minorHAnsi" w:hAnsiTheme="majorBidi" w:cstheme="majorBidi"/>
        </w:rPr>
        <w:t>6, </w:t>
      </w:r>
      <w:hyperlink r:id="rId23" w:history="1">
        <w:r w:rsidRPr="003D39CB">
          <w:rPr>
            <w:rFonts w:asciiTheme="majorBidi" w:eastAsiaTheme="minorHAnsi" w:hAnsiTheme="majorBidi" w:cstheme="majorBidi"/>
          </w:rPr>
          <w:t>Yu J</w:t>
        </w:r>
      </w:hyperlink>
      <w:r w:rsidRPr="003D39CB">
        <w:rPr>
          <w:rFonts w:asciiTheme="majorBidi" w:eastAsiaTheme="minorHAnsi" w:hAnsiTheme="majorBidi" w:cstheme="majorBidi"/>
        </w:rPr>
        <w:t>7, </w:t>
      </w:r>
      <w:hyperlink r:id="rId24" w:history="1">
        <w:r w:rsidRPr="003D39CB">
          <w:rPr>
            <w:rFonts w:asciiTheme="majorBidi" w:eastAsiaTheme="minorHAnsi" w:hAnsiTheme="majorBidi" w:cstheme="majorBidi"/>
          </w:rPr>
          <w:t>Shin CH</w:t>
        </w:r>
      </w:hyperlink>
      <w:r w:rsidRPr="003D39CB">
        <w:rPr>
          <w:rFonts w:asciiTheme="majorBidi" w:eastAsiaTheme="minorHAnsi" w:hAnsiTheme="majorBidi" w:cstheme="majorBidi"/>
        </w:rPr>
        <w:t>1, </w:t>
      </w:r>
      <w:hyperlink r:id="rId25" w:history="1">
        <w:r w:rsidRPr="003D39CB">
          <w:rPr>
            <w:rFonts w:asciiTheme="majorBidi" w:eastAsiaTheme="minorHAnsi" w:hAnsiTheme="majorBidi" w:cstheme="majorBidi"/>
          </w:rPr>
          <w:t>Yang SW</w:t>
        </w:r>
      </w:hyperlink>
      <w:r w:rsidRPr="003D39CB">
        <w:rPr>
          <w:rFonts w:asciiTheme="majorBidi" w:eastAsiaTheme="minorHAnsi" w:hAnsiTheme="majorBidi" w:cstheme="majorBidi"/>
        </w:rPr>
        <w:t>1, </w:t>
      </w:r>
      <w:hyperlink r:id="rId26" w:history="1">
        <w:r w:rsidRPr="003D39CB">
          <w:rPr>
            <w:rFonts w:asciiTheme="majorBidi" w:eastAsiaTheme="minorHAnsi" w:hAnsiTheme="majorBidi" w:cstheme="majorBidi"/>
          </w:rPr>
          <w:t>Lee SY</w:t>
        </w:r>
      </w:hyperlink>
      <w:r w:rsidRPr="003D39CB">
        <w:rPr>
          <w:rFonts w:asciiTheme="majorBidi" w:eastAsiaTheme="minorHAnsi" w:hAnsiTheme="majorBidi" w:cstheme="majorBidi"/>
        </w:rPr>
        <w:t xml:space="preserve">8. Factors Associated with the Presence and Severity of </w:t>
      </w:r>
      <w:r w:rsidRPr="003D39CB">
        <w:rPr>
          <w:rFonts w:asciiTheme="majorBidi" w:eastAsiaTheme="minorHAnsi" w:hAnsiTheme="majorBidi" w:cstheme="majorBidi"/>
        </w:rPr>
        <w:lastRenderedPageBreak/>
        <w:t xml:space="preserve">Diabetic Ketoacidosis at Diagnosis of Type 1 Diabetes in Korean Children and Adolescents. </w:t>
      </w:r>
      <w:hyperlink r:id="rId27" w:tooltip="Journal of Korean medical science." w:history="1">
        <w:r w:rsidRPr="003D39CB">
          <w:rPr>
            <w:rFonts w:asciiTheme="majorBidi" w:eastAsiaTheme="minorHAnsi" w:hAnsiTheme="majorBidi" w:cstheme="majorBidi"/>
          </w:rPr>
          <w:t>J Korean Med Sci.</w:t>
        </w:r>
      </w:hyperlink>
      <w:r w:rsidRPr="003D39CB">
        <w:rPr>
          <w:rFonts w:asciiTheme="majorBidi" w:eastAsiaTheme="minorHAnsi" w:hAnsiTheme="majorBidi" w:cstheme="majorBidi"/>
        </w:rPr>
        <w:t> 2017 Feb</w:t>
      </w:r>
      <w:proofErr w:type="gramStart"/>
      <w:r w:rsidRPr="003D39CB">
        <w:rPr>
          <w:rFonts w:asciiTheme="majorBidi" w:eastAsiaTheme="minorHAnsi" w:hAnsiTheme="majorBidi" w:cstheme="majorBidi"/>
        </w:rPr>
        <w:t>;32</w:t>
      </w:r>
      <w:proofErr w:type="gramEnd"/>
      <w:r w:rsidRPr="003D39CB">
        <w:rPr>
          <w:rFonts w:asciiTheme="majorBidi" w:eastAsiaTheme="minorHAnsi" w:hAnsiTheme="majorBidi" w:cstheme="majorBidi"/>
        </w:rPr>
        <w:t xml:space="preserve">(2):303-309.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10.3346/jkms.2017.32.2.303.</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9. </w:t>
      </w:r>
      <w:proofErr w:type="spellStart"/>
      <w:r w:rsidRPr="003D39CB">
        <w:rPr>
          <w:rFonts w:asciiTheme="majorBidi" w:eastAsiaTheme="minorHAnsi" w:hAnsiTheme="majorBidi" w:cstheme="majorBidi"/>
        </w:rPr>
        <w:t>Poovazhagi</w:t>
      </w:r>
      <w:proofErr w:type="spellEnd"/>
      <w:r w:rsidRPr="003D39CB">
        <w:rPr>
          <w:rFonts w:asciiTheme="majorBidi" w:eastAsiaTheme="minorHAnsi" w:hAnsiTheme="majorBidi" w:cstheme="majorBidi"/>
        </w:rPr>
        <w:t xml:space="preserve"> V. </w:t>
      </w:r>
      <w:hyperlink r:id="rId28" w:history="1">
        <w:r w:rsidRPr="003D39CB">
          <w:rPr>
            <w:rFonts w:asciiTheme="majorBidi" w:eastAsiaTheme="minorHAnsi" w:hAnsiTheme="majorBidi" w:cstheme="majorBidi"/>
          </w:rPr>
          <w:t xml:space="preserve">Risk factors for mortality in children with diabetic </w:t>
        </w:r>
        <w:proofErr w:type="spellStart"/>
        <w:r w:rsidRPr="003D39CB">
          <w:rPr>
            <w:rFonts w:asciiTheme="majorBidi" w:eastAsiaTheme="minorHAnsi" w:hAnsiTheme="majorBidi" w:cstheme="majorBidi"/>
          </w:rPr>
          <w:t>keto</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acidosisfrom</w:t>
        </w:r>
        <w:proofErr w:type="spellEnd"/>
        <w:r w:rsidRPr="003D39CB">
          <w:rPr>
            <w:rFonts w:asciiTheme="majorBidi" w:eastAsiaTheme="minorHAnsi" w:hAnsiTheme="majorBidi" w:cstheme="majorBidi"/>
          </w:rPr>
          <w:t> developing countries.</w:t>
        </w:r>
      </w:hyperlink>
      <w:r w:rsidRPr="003D39CB">
        <w:rPr>
          <w:rFonts w:asciiTheme="majorBidi" w:eastAsiaTheme="minorHAnsi" w:hAnsiTheme="majorBidi" w:cstheme="majorBidi"/>
        </w:rPr>
        <w:t xml:space="preserve"> World J Diabetes. 2014 Dec 15</w:t>
      </w:r>
      <w:proofErr w:type="gramStart"/>
      <w:r w:rsidRPr="003D39CB">
        <w:rPr>
          <w:rFonts w:asciiTheme="majorBidi" w:eastAsiaTheme="minorHAnsi" w:hAnsiTheme="majorBidi" w:cstheme="majorBidi"/>
        </w:rPr>
        <w:t>;5</w:t>
      </w:r>
      <w:proofErr w:type="gramEnd"/>
      <w:r w:rsidRPr="003D39CB">
        <w:rPr>
          <w:rFonts w:asciiTheme="majorBidi" w:eastAsiaTheme="minorHAnsi" w:hAnsiTheme="majorBidi" w:cstheme="majorBidi"/>
        </w:rPr>
        <w:t>(6):932-8.</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10. </w:t>
      </w:r>
      <w:proofErr w:type="spellStart"/>
      <w:r w:rsidRPr="003D39CB">
        <w:rPr>
          <w:rFonts w:asciiTheme="majorBidi" w:eastAsiaTheme="minorHAnsi" w:hAnsiTheme="majorBidi" w:cstheme="majorBidi"/>
        </w:rPr>
        <w:t>Eyal</w:t>
      </w:r>
      <w:proofErr w:type="spellEnd"/>
      <w:r w:rsidRPr="003D39CB">
        <w:rPr>
          <w:rFonts w:asciiTheme="majorBidi" w:eastAsiaTheme="minorHAnsi" w:hAnsiTheme="majorBidi" w:cstheme="majorBidi"/>
        </w:rPr>
        <w:t xml:space="preserve"> O, Oren A, </w:t>
      </w:r>
      <w:proofErr w:type="spellStart"/>
      <w:r w:rsidRPr="003D39CB">
        <w:rPr>
          <w:rFonts w:asciiTheme="majorBidi" w:eastAsiaTheme="minorHAnsi" w:hAnsiTheme="majorBidi" w:cstheme="majorBidi"/>
        </w:rPr>
        <w:t>Almasi-Wolker</w:t>
      </w:r>
      <w:proofErr w:type="spellEnd"/>
      <w:r w:rsidRPr="003D39CB">
        <w:rPr>
          <w:rFonts w:asciiTheme="majorBidi" w:eastAsiaTheme="minorHAnsi" w:hAnsiTheme="majorBidi" w:cstheme="majorBidi"/>
        </w:rPr>
        <w:t xml:space="preserve"> D, </w:t>
      </w:r>
      <w:proofErr w:type="spellStart"/>
      <w:r w:rsidRPr="003D39CB">
        <w:rPr>
          <w:rFonts w:asciiTheme="majorBidi" w:eastAsiaTheme="minorHAnsi" w:hAnsiTheme="majorBidi" w:cstheme="majorBidi"/>
        </w:rPr>
        <w:t>Tenenbaum-Rakover</w:t>
      </w:r>
      <w:proofErr w:type="spellEnd"/>
      <w:r w:rsidRPr="003D39CB">
        <w:rPr>
          <w:rFonts w:asciiTheme="majorBidi" w:eastAsiaTheme="minorHAnsi" w:hAnsiTheme="majorBidi" w:cstheme="majorBidi"/>
        </w:rPr>
        <w:t xml:space="preserve"> Y, </w:t>
      </w:r>
      <w:proofErr w:type="spellStart"/>
      <w:r w:rsidRPr="003D39CB">
        <w:rPr>
          <w:rFonts w:asciiTheme="majorBidi" w:eastAsiaTheme="minorHAnsi" w:hAnsiTheme="majorBidi" w:cstheme="majorBidi"/>
        </w:rPr>
        <w:t>Rachmiel</w:t>
      </w:r>
      <w:proofErr w:type="spellEnd"/>
      <w:r w:rsidRPr="003D39CB">
        <w:rPr>
          <w:rFonts w:asciiTheme="majorBidi" w:eastAsiaTheme="minorHAnsi" w:hAnsiTheme="majorBidi" w:cstheme="majorBidi"/>
        </w:rPr>
        <w:t xml:space="preserve"> M, </w:t>
      </w:r>
      <w:proofErr w:type="spellStart"/>
      <w:r w:rsidRPr="003D39CB">
        <w:rPr>
          <w:rFonts w:asciiTheme="majorBidi" w:eastAsiaTheme="minorHAnsi" w:hAnsiTheme="majorBidi" w:cstheme="majorBidi"/>
        </w:rPr>
        <w:t>Weintrob</w:t>
      </w:r>
      <w:proofErr w:type="spellEnd"/>
      <w:r w:rsidRPr="003D39CB">
        <w:rPr>
          <w:rFonts w:asciiTheme="majorBidi" w:eastAsiaTheme="minorHAnsi" w:hAnsiTheme="majorBidi" w:cstheme="majorBidi"/>
        </w:rPr>
        <w:t xml:space="preserve"> N. </w:t>
      </w:r>
      <w:hyperlink r:id="rId29" w:history="1">
        <w:r w:rsidRPr="003D39CB">
          <w:rPr>
            <w:rFonts w:asciiTheme="majorBidi" w:eastAsiaTheme="minorHAnsi" w:hAnsiTheme="majorBidi" w:cstheme="majorBidi"/>
          </w:rPr>
          <w:t>Ketoacidosis in Newly Diagnosed Type 1 Diabetes in Children and Adolescents in Israel: Prevalence and Risk Factors.</w:t>
        </w:r>
      </w:hyperlink>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Isr</w:t>
      </w:r>
      <w:proofErr w:type="spellEnd"/>
      <w:r w:rsidRPr="003D39CB">
        <w:rPr>
          <w:rFonts w:asciiTheme="majorBidi" w:eastAsiaTheme="minorHAnsi" w:hAnsiTheme="majorBidi" w:cstheme="majorBidi"/>
        </w:rPr>
        <w:t xml:space="preserve"> Med </w:t>
      </w:r>
      <w:proofErr w:type="spellStart"/>
      <w:r w:rsidRPr="003D39CB">
        <w:rPr>
          <w:rFonts w:asciiTheme="majorBidi" w:eastAsiaTheme="minorHAnsi" w:hAnsiTheme="majorBidi" w:cstheme="majorBidi"/>
        </w:rPr>
        <w:t>Assoc</w:t>
      </w:r>
      <w:proofErr w:type="spellEnd"/>
      <w:r w:rsidRPr="003D39CB">
        <w:rPr>
          <w:rFonts w:asciiTheme="majorBidi" w:eastAsiaTheme="minorHAnsi" w:hAnsiTheme="majorBidi" w:cstheme="majorBidi"/>
        </w:rPr>
        <w:t xml:space="preserve"> J. 2018 Feb</w:t>
      </w:r>
      <w:proofErr w:type="gramStart"/>
      <w:r w:rsidRPr="003D39CB">
        <w:rPr>
          <w:rFonts w:asciiTheme="majorBidi" w:eastAsiaTheme="minorHAnsi" w:hAnsiTheme="majorBidi" w:cstheme="majorBidi"/>
        </w:rPr>
        <w:t>;20</w:t>
      </w:r>
      <w:proofErr w:type="gramEnd"/>
      <w:r w:rsidRPr="003D39CB">
        <w:rPr>
          <w:rFonts w:asciiTheme="majorBidi" w:eastAsiaTheme="minorHAnsi" w:hAnsiTheme="majorBidi" w:cstheme="majorBidi"/>
        </w:rPr>
        <w:t>(2):100-103.</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11. </w:t>
      </w:r>
      <w:hyperlink r:id="rId30" w:history="1">
        <w:r w:rsidRPr="003D39CB">
          <w:rPr>
            <w:rFonts w:asciiTheme="majorBidi" w:eastAsiaTheme="minorHAnsi" w:hAnsiTheme="majorBidi" w:cstheme="majorBidi"/>
          </w:rPr>
          <w:t>Glaser NS</w:t>
        </w:r>
      </w:hyperlink>
      <w:r w:rsidRPr="003D39CB">
        <w:rPr>
          <w:rFonts w:asciiTheme="majorBidi" w:eastAsiaTheme="minorHAnsi" w:hAnsiTheme="majorBidi" w:cstheme="majorBidi"/>
        </w:rPr>
        <w:t>1, </w:t>
      </w:r>
      <w:proofErr w:type="spellStart"/>
      <w:r w:rsidR="00AD079F">
        <w:fldChar w:fldCharType="begin"/>
      </w:r>
      <w:r w:rsidR="00AD079F">
        <w:instrText xml:space="preserve"> HYPERLINK "https://www.ncbi.nlm.nih.gov/pubmed/?term=Ghetti%20S%5BAuthor%5D&amp;cauthor=true&amp;cauthor_uid=23490311" </w:instrText>
      </w:r>
      <w:r w:rsidR="00AD079F">
        <w:fldChar w:fldCharType="separate"/>
      </w:r>
      <w:r w:rsidRPr="003D39CB">
        <w:rPr>
          <w:rFonts w:asciiTheme="majorBidi" w:eastAsiaTheme="minorHAnsi" w:hAnsiTheme="majorBidi" w:cstheme="majorBidi"/>
        </w:rPr>
        <w:t>Ghetti</w:t>
      </w:r>
      <w:proofErr w:type="spellEnd"/>
      <w:r w:rsidRPr="003D39CB">
        <w:rPr>
          <w:rFonts w:asciiTheme="majorBidi" w:eastAsiaTheme="minorHAnsi" w:hAnsiTheme="majorBidi" w:cstheme="majorBidi"/>
        </w:rPr>
        <w:t xml:space="preserve"> S</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w:t>
      </w:r>
      <w:hyperlink r:id="rId31" w:history="1">
        <w:r w:rsidRPr="003D39CB">
          <w:rPr>
            <w:rFonts w:asciiTheme="majorBidi" w:eastAsiaTheme="minorHAnsi" w:hAnsiTheme="majorBidi" w:cstheme="majorBidi"/>
          </w:rPr>
          <w:t>Casper TC</w:t>
        </w:r>
      </w:hyperlink>
      <w:r w:rsidRPr="003D39CB">
        <w:rPr>
          <w:rFonts w:asciiTheme="majorBidi" w:eastAsiaTheme="minorHAnsi" w:hAnsiTheme="majorBidi" w:cstheme="majorBidi"/>
        </w:rPr>
        <w:t>, </w:t>
      </w:r>
      <w:hyperlink r:id="rId32" w:history="1">
        <w:r w:rsidRPr="003D39CB">
          <w:rPr>
            <w:rFonts w:asciiTheme="majorBidi" w:eastAsiaTheme="minorHAnsi" w:hAnsiTheme="majorBidi" w:cstheme="majorBidi"/>
          </w:rPr>
          <w:t>Dean JM</w:t>
        </w:r>
      </w:hyperlink>
      <w:r w:rsidRPr="003D39CB">
        <w:rPr>
          <w:rFonts w:asciiTheme="majorBidi" w:eastAsiaTheme="minorHAnsi" w:hAnsiTheme="majorBidi" w:cstheme="majorBidi"/>
        </w:rPr>
        <w:t>, </w:t>
      </w:r>
      <w:hyperlink r:id="rId33" w:history="1">
        <w:proofErr w:type="spellStart"/>
        <w:r w:rsidRPr="003D39CB">
          <w:rPr>
            <w:rFonts w:asciiTheme="majorBidi" w:eastAsiaTheme="minorHAnsi" w:hAnsiTheme="majorBidi" w:cstheme="majorBidi"/>
          </w:rPr>
          <w:t>Kuppermann</w:t>
        </w:r>
        <w:proofErr w:type="spellEnd"/>
        <w:r w:rsidRPr="003D39CB">
          <w:rPr>
            <w:rFonts w:asciiTheme="majorBidi" w:eastAsiaTheme="minorHAnsi" w:hAnsiTheme="majorBidi" w:cstheme="majorBidi"/>
          </w:rPr>
          <w:t xml:space="preserve"> N</w:t>
        </w:r>
      </w:hyperlink>
      <w:r w:rsidRPr="003D39CB">
        <w:rPr>
          <w:rFonts w:asciiTheme="majorBidi" w:eastAsiaTheme="minorHAnsi" w:hAnsiTheme="majorBidi" w:cstheme="majorBidi"/>
        </w:rPr>
        <w:t>; </w:t>
      </w:r>
      <w:hyperlink r:id="rId34" w:history="1">
        <w:r w:rsidRPr="003D39CB">
          <w:rPr>
            <w:rFonts w:asciiTheme="majorBidi" w:eastAsiaTheme="minorHAnsi" w:hAnsiTheme="majorBidi" w:cstheme="majorBidi"/>
          </w:rPr>
          <w:t>Pediatric Emergency Care Applied Research Network (PECARN) DKA FLUID Study Group</w:t>
        </w:r>
      </w:hyperlink>
      <w:r w:rsidRPr="003D39CB">
        <w:rPr>
          <w:rFonts w:asciiTheme="majorBidi" w:eastAsiaTheme="minorHAnsi" w:hAnsiTheme="majorBidi" w:cstheme="majorBidi"/>
        </w:rPr>
        <w:t xml:space="preserve">. Pediatric diabetic ketoacidosis, fluid therapy, and cerebral injury: the design of a factorial randomized controlled trial. </w:t>
      </w:r>
      <w:hyperlink r:id="rId35" w:tooltip="Pediatric diabetes." w:history="1">
        <w:proofErr w:type="spellStart"/>
        <w:r w:rsidRPr="003D39CB">
          <w:rPr>
            <w:rFonts w:asciiTheme="majorBidi" w:eastAsiaTheme="minorHAnsi" w:hAnsiTheme="majorBidi" w:cstheme="majorBidi"/>
          </w:rPr>
          <w:t>Pediatr</w:t>
        </w:r>
        <w:proofErr w:type="spellEnd"/>
        <w:r w:rsidRPr="003D39CB">
          <w:rPr>
            <w:rFonts w:asciiTheme="majorBidi" w:eastAsiaTheme="minorHAnsi" w:hAnsiTheme="majorBidi" w:cstheme="majorBidi"/>
          </w:rPr>
          <w:t xml:space="preserve"> Diabetes.</w:t>
        </w:r>
      </w:hyperlink>
      <w:r w:rsidRPr="003D39CB">
        <w:rPr>
          <w:rFonts w:asciiTheme="majorBidi" w:eastAsiaTheme="minorHAnsi" w:hAnsiTheme="majorBidi" w:cstheme="majorBidi"/>
        </w:rPr>
        <w:t> 2013 Sep</w:t>
      </w:r>
      <w:proofErr w:type="gramStart"/>
      <w:r w:rsidRPr="003D39CB">
        <w:rPr>
          <w:rFonts w:asciiTheme="majorBidi" w:eastAsiaTheme="minorHAnsi" w:hAnsiTheme="majorBidi" w:cstheme="majorBidi"/>
        </w:rPr>
        <w:t>;14</w:t>
      </w:r>
      <w:proofErr w:type="gramEnd"/>
      <w:r w:rsidRPr="003D39CB">
        <w:rPr>
          <w:rFonts w:asciiTheme="majorBidi" w:eastAsiaTheme="minorHAnsi" w:hAnsiTheme="majorBidi" w:cstheme="majorBidi"/>
        </w:rPr>
        <w:t xml:space="preserve">(6):435-46.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xml:space="preserve">: 10.1111/pedi.12027. </w:t>
      </w:r>
      <w:proofErr w:type="spellStart"/>
      <w:r w:rsidRPr="003D39CB">
        <w:rPr>
          <w:rFonts w:asciiTheme="majorBidi" w:eastAsiaTheme="minorHAnsi" w:hAnsiTheme="majorBidi" w:cstheme="majorBidi"/>
        </w:rPr>
        <w:t>Epub</w:t>
      </w:r>
      <w:proofErr w:type="spellEnd"/>
      <w:r w:rsidRPr="003D39CB">
        <w:rPr>
          <w:rFonts w:asciiTheme="majorBidi" w:eastAsiaTheme="minorHAnsi" w:hAnsiTheme="majorBidi" w:cstheme="majorBidi"/>
        </w:rPr>
        <w:t xml:space="preserve"> 2013 Mar 13.</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12. Ho GT, </w:t>
      </w:r>
      <w:proofErr w:type="spellStart"/>
      <w:r w:rsidRPr="003D39CB">
        <w:rPr>
          <w:rFonts w:asciiTheme="majorBidi" w:eastAsiaTheme="minorHAnsi" w:hAnsiTheme="majorBidi" w:cstheme="majorBidi"/>
        </w:rPr>
        <w:t>Mowat</w:t>
      </w:r>
      <w:proofErr w:type="spellEnd"/>
      <w:r w:rsidRPr="003D39CB">
        <w:rPr>
          <w:rFonts w:asciiTheme="majorBidi" w:eastAsiaTheme="minorHAnsi" w:hAnsiTheme="majorBidi" w:cstheme="majorBidi"/>
        </w:rPr>
        <w:t xml:space="preserve"> C, Goddard CJ, Fennell JM, Shah NB, Prescott RJ, et al. </w:t>
      </w:r>
      <w:proofErr w:type="gramStart"/>
      <w:r w:rsidRPr="003D39CB">
        <w:rPr>
          <w:rFonts w:asciiTheme="majorBidi" w:eastAsiaTheme="minorHAnsi" w:hAnsiTheme="majorBidi" w:cstheme="majorBidi"/>
        </w:rPr>
        <w:t>Predicting</w:t>
      </w:r>
      <w:proofErr w:type="gramEnd"/>
      <w:r w:rsidRPr="003D39CB">
        <w:rPr>
          <w:rFonts w:asciiTheme="majorBidi" w:eastAsiaTheme="minorHAnsi" w:hAnsiTheme="majorBidi" w:cstheme="majorBidi"/>
        </w:rPr>
        <w:t xml:space="preserve"> the outcome of severe ulcerative colitis: development of a novel risk score to aid early selection of patients for second-line medical therapy or surgery. Aliment </w:t>
      </w:r>
      <w:proofErr w:type="spellStart"/>
      <w:r w:rsidRPr="003D39CB">
        <w:rPr>
          <w:rFonts w:asciiTheme="majorBidi" w:eastAsiaTheme="minorHAnsi" w:hAnsiTheme="majorBidi" w:cstheme="majorBidi"/>
        </w:rPr>
        <w:t>Pharmacol</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Ther</w:t>
      </w:r>
      <w:proofErr w:type="spellEnd"/>
      <w:r w:rsidRPr="003D39CB">
        <w:rPr>
          <w:rFonts w:asciiTheme="majorBidi" w:eastAsiaTheme="minorHAnsi" w:hAnsiTheme="majorBidi" w:cstheme="majorBidi"/>
        </w:rPr>
        <w:t>. 2004</w:t>
      </w:r>
      <w:proofErr w:type="gramStart"/>
      <w:r w:rsidRPr="003D39CB">
        <w:rPr>
          <w:rFonts w:asciiTheme="majorBidi" w:eastAsiaTheme="minorHAnsi" w:hAnsiTheme="majorBidi" w:cstheme="majorBidi"/>
        </w:rPr>
        <w:t>;19</w:t>
      </w:r>
      <w:proofErr w:type="gramEnd"/>
      <w:r w:rsidRPr="003D39CB">
        <w:rPr>
          <w:rFonts w:asciiTheme="majorBidi" w:eastAsiaTheme="minorHAnsi" w:hAnsiTheme="majorBidi" w:cstheme="majorBidi"/>
        </w:rPr>
        <w:t xml:space="preserve">(10):1079-1087.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10.1111/j.1365- 2036.2004.01945.x</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13. </w:t>
      </w:r>
      <w:hyperlink r:id="rId36" w:history="1">
        <w:proofErr w:type="spellStart"/>
        <w:r w:rsidRPr="003D39CB">
          <w:rPr>
            <w:rFonts w:asciiTheme="majorBidi" w:eastAsiaTheme="minorHAnsi" w:hAnsiTheme="majorBidi" w:cstheme="majorBidi"/>
          </w:rPr>
          <w:t>Hosseini</w:t>
        </w:r>
        <w:proofErr w:type="spellEnd"/>
        <w:r w:rsidRPr="003D39CB">
          <w:rPr>
            <w:rFonts w:asciiTheme="majorBidi" w:eastAsiaTheme="minorHAnsi" w:hAnsiTheme="majorBidi" w:cstheme="majorBidi"/>
          </w:rPr>
          <w:t xml:space="preserve"> SV</w:t>
        </w:r>
      </w:hyperlink>
      <w:r w:rsidRPr="003D39CB">
        <w:rPr>
          <w:rFonts w:asciiTheme="majorBidi" w:eastAsiaTheme="minorHAnsi" w:hAnsiTheme="majorBidi" w:cstheme="majorBidi"/>
        </w:rPr>
        <w:t>1, </w:t>
      </w:r>
      <w:hyperlink r:id="rId37" w:history="1">
        <w:proofErr w:type="spellStart"/>
        <w:r w:rsidRPr="003D39CB">
          <w:rPr>
            <w:rFonts w:asciiTheme="majorBidi" w:eastAsiaTheme="minorHAnsi" w:hAnsiTheme="majorBidi" w:cstheme="majorBidi"/>
          </w:rPr>
          <w:t>Safarpour</w:t>
        </w:r>
        <w:proofErr w:type="spellEnd"/>
        <w:r w:rsidRPr="003D39CB">
          <w:rPr>
            <w:rFonts w:asciiTheme="majorBidi" w:eastAsiaTheme="minorHAnsi" w:hAnsiTheme="majorBidi" w:cstheme="majorBidi"/>
          </w:rPr>
          <w:t xml:space="preserve"> AR</w:t>
        </w:r>
      </w:hyperlink>
      <w:r w:rsidRPr="003D39CB">
        <w:rPr>
          <w:rFonts w:asciiTheme="majorBidi" w:eastAsiaTheme="minorHAnsi" w:hAnsiTheme="majorBidi" w:cstheme="majorBidi"/>
        </w:rPr>
        <w:t>2, </w:t>
      </w:r>
      <w:proofErr w:type="spellStart"/>
      <w:r w:rsidR="00AD079F">
        <w:fldChar w:fldCharType="begin"/>
      </w:r>
      <w:r w:rsidR="00AD079F">
        <w:instrText xml:space="preserve"> HYPERLINK "https://www.ncbi.nlm.nih.gov/pubmed/?term=Taghavi%20SA%5BAuthor%5D&amp;cauthor=true&amp;cauthor_uid=26870126" </w:instrText>
      </w:r>
      <w:r w:rsidR="00AD079F">
        <w:fldChar w:fldCharType="separate"/>
      </w:r>
      <w:r w:rsidRPr="003D39CB">
        <w:rPr>
          <w:rFonts w:asciiTheme="majorBidi" w:eastAsiaTheme="minorHAnsi" w:hAnsiTheme="majorBidi" w:cstheme="majorBidi"/>
        </w:rPr>
        <w:t>Taghavi</w:t>
      </w:r>
      <w:proofErr w:type="spellEnd"/>
      <w:r w:rsidRPr="003D39CB">
        <w:rPr>
          <w:rFonts w:asciiTheme="majorBidi" w:eastAsiaTheme="minorHAnsi" w:hAnsiTheme="majorBidi" w:cstheme="majorBidi"/>
        </w:rPr>
        <w:t xml:space="preserve"> SA</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xml:space="preserve">3. Developing a novel risk-scoring system for predicting relapse in patients with ulcerative colitis: A prospective cohort study. </w:t>
      </w:r>
      <w:hyperlink r:id="rId38" w:tooltip="Pakistan journal of medical sciences." w:history="1">
        <w:r w:rsidRPr="003D39CB">
          <w:rPr>
            <w:rFonts w:asciiTheme="majorBidi" w:eastAsiaTheme="minorHAnsi" w:hAnsiTheme="majorBidi" w:cstheme="majorBidi"/>
          </w:rPr>
          <w:t>Pak J Med Sci.</w:t>
        </w:r>
      </w:hyperlink>
      <w:r w:rsidRPr="003D39CB">
        <w:rPr>
          <w:rFonts w:asciiTheme="majorBidi" w:eastAsiaTheme="minorHAnsi" w:hAnsiTheme="majorBidi" w:cstheme="majorBidi"/>
        </w:rPr>
        <w:t> 2015 Nov-Dec</w:t>
      </w:r>
      <w:proofErr w:type="gramStart"/>
      <w:r w:rsidRPr="003D39CB">
        <w:rPr>
          <w:rFonts w:asciiTheme="majorBidi" w:eastAsiaTheme="minorHAnsi" w:hAnsiTheme="majorBidi" w:cstheme="majorBidi"/>
        </w:rPr>
        <w:t>;31</w:t>
      </w:r>
      <w:proofErr w:type="gramEnd"/>
      <w:r w:rsidRPr="003D39CB">
        <w:rPr>
          <w:rFonts w:asciiTheme="majorBidi" w:eastAsiaTheme="minorHAnsi" w:hAnsiTheme="majorBidi" w:cstheme="majorBidi"/>
        </w:rPr>
        <w:t xml:space="preserve">(6):1511-6.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10.12669/pjms.316.8811.</w:t>
      </w:r>
    </w:p>
    <w:p w:rsidR="00A26504" w:rsidRPr="00E166CA"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14</w:t>
      </w:r>
      <w:r w:rsidRPr="00E166CA">
        <w:rPr>
          <w:rFonts w:asciiTheme="majorBidi" w:eastAsiaTheme="minorHAnsi" w:hAnsiTheme="majorBidi" w:cstheme="majorBidi"/>
        </w:rPr>
        <w:t>. </w:t>
      </w:r>
      <w:proofErr w:type="spellStart"/>
      <w:r w:rsidRPr="003D39CB">
        <w:rPr>
          <w:rFonts w:asciiTheme="majorBidi" w:eastAsiaTheme="minorHAnsi" w:hAnsiTheme="majorBidi" w:cstheme="majorBidi"/>
        </w:rPr>
        <w:t>Horta</w:t>
      </w:r>
      <w:proofErr w:type="spellEnd"/>
      <w:r w:rsidRPr="003D39CB">
        <w:rPr>
          <w:rFonts w:asciiTheme="majorBidi" w:eastAsiaTheme="minorHAnsi" w:hAnsiTheme="majorBidi" w:cstheme="majorBidi"/>
        </w:rPr>
        <w:t xml:space="preserve"> BL, </w:t>
      </w:r>
      <w:proofErr w:type="spellStart"/>
      <w:r w:rsidRPr="003D39CB">
        <w:rPr>
          <w:rFonts w:asciiTheme="majorBidi" w:eastAsiaTheme="minorHAnsi" w:hAnsiTheme="majorBidi" w:cstheme="majorBidi"/>
        </w:rPr>
        <w:t>Bahl</w:t>
      </w:r>
      <w:proofErr w:type="spellEnd"/>
      <w:r w:rsidRPr="003D39CB">
        <w:rPr>
          <w:rFonts w:asciiTheme="majorBidi" w:eastAsiaTheme="minorHAnsi" w:hAnsiTheme="majorBidi" w:cstheme="majorBidi"/>
        </w:rPr>
        <w:t xml:space="preserve"> R, </w:t>
      </w:r>
      <w:proofErr w:type="spellStart"/>
      <w:r w:rsidRPr="003D39CB">
        <w:rPr>
          <w:rFonts w:asciiTheme="majorBidi" w:eastAsiaTheme="minorHAnsi" w:hAnsiTheme="majorBidi" w:cstheme="majorBidi"/>
        </w:rPr>
        <w:t>Martinés</w:t>
      </w:r>
      <w:proofErr w:type="spellEnd"/>
      <w:r w:rsidRPr="003D39CB">
        <w:rPr>
          <w:rFonts w:asciiTheme="majorBidi" w:eastAsiaTheme="minorHAnsi" w:hAnsiTheme="majorBidi" w:cstheme="majorBidi"/>
        </w:rPr>
        <w:t xml:space="preserve"> JC, et al. Evidence on the long-term effects of breastfeeding: systematic review and meta-analyses. Geneva: World Health Organization; 2007. pp. 1–57.</w:t>
      </w:r>
    </w:p>
    <w:p w:rsidR="00A26504" w:rsidRPr="00E166CA"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15</w:t>
      </w:r>
      <w:r w:rsidRPr="00E166CA">
        <w:rPr>
          <w:rFonts w:asciiTheme="majorBidi" w:eastAsiaTheme="minorHAnsi" w:hAnsiTheme="majorBidi" w:cstheme="majorBidi"/>
        </w:rPr>
        <w:t>. </w:t>
      </w:r>
      <w:r w:rsidRPr="003D39CB">
        <w:rPr>
          <w:rFonts w:asciiTheme="majorBidi" w:eastAsiaTheme="minorHAnsi" w:hAnsiTheme="majorBidi" w:cstheme="majorBidi"/>
        </w:rPr>
        <w:t xml:space="preserve">Harder T, Bergmann R, </w:t>
      </w:r>
      <w:proofErr w:type="spellStart"/>
      <w:r w:rsidRPr="003D39CB">
        <w:rPr>
          <w:rFonts w:asciiTheme="majorBidi" w:eastAsiaTheme="minorHAnsi" w:hAnsiTheme="majorBidi" w:cstheme="majorBidi"/>
        </w:rPr>
        <w:t>Kallischnigg</w:t>
      </w:r>
      <w:proofErr w:type="spellEnd"/>
      <w:r w:rsidRPr="003D39CB">
        <w:rPr>
          <w:rFonts w:asciiTheme="majorBidi" w:eastAsiaTheme="minorHAnsi" w:hAnsiTheme="majorBidi" w:cstheme="majorBidi"/>
        </w:rPr>
        <w:t xml:space="preserve"> G, et al. Duration of breastfeeding and risk of overweight: a meta-analysis. Am J </w:t>
      </w:r>
      <w:proofErr w:type="spellStart"/>
      <w:r w:rsidRPr="003D39CB">
        <w:rPr>
          <w:rFonts w:asciiTheme="majorBidi" w:eastAsiaTheme="minorHAnsi" w:hAnsiTheme="majorBidi" w:cstheme="majorBidi"/>
        </w:rPr>
        <w:t>Epidemiol</w:t>
      </w:r>
      <w:proofErr w:type="spellEnd"/>
      <w:r w:rsidRPr="003D39CB">
        <w:rPr>
          <w:rFonts w:asciiTheme="majorBidi" w:eastAsiaTheme="minorHAnsi" w:hAnsiTheme="majorBidi" w:cstheme="majorBidi"/>
        </w:rPr>
        <w:t>. 2005</w:t>
      </w:r>
      <w:proofErr w:type="gramStart"/>
      <w:r w:rsidRPr="003D39CB">
        <w:rPr>
          <w:rFonts w:asciiTheme="majorBidi" w:eastAsiaTheme="minorHAnsi" w:hAnsiTheme="majorBidi" w:cstheme="majorBidi"/>
        </w:rPr>
        <w:t>;162:397</w:t>
      </w:r>
      <w:proofErr w:type="gramEnd"/>
      <w:r w:rsidRPr="003D39CB">
        <w:rPr>
          <w:rFonts w:asciiTheme="majorBidi" w:eastAsiaTheme="minorHAnsi" w:hAnsiTheme="majorBidi" w:cstheme="majorBidi"/>
        </w:rPr>
        <w:t>–403.</w:t>
      </w: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lastRenderedPageBreak/>
        <w:t>16. </w:t>
      </w:r>
      <w:proofErr w:type="spellStart"/>
      <w:r w:rsidRPr="003D39CB">
        <w:rPr>
          <w:rFonts w:asciiTheme="majorBidi" w:eastAsiaTheme="minorHAnsi" w:hAnsiTheme="majorBidi" w:cstheme="majorBidi"/>
        </w:rPr>
        <w:t>Kostraba</w:t>
      </w:r>
      <w:proofErr w:type="spellEnd"/>
      <w:r w:rsidRPr="003D39CB">
        <w:rPr>
          <w:rFonts w:asciiTheme="majorBidi" w:eastAsiaTheme="minorHAnsi" w:hAnsiTheme="majorBidi" w:cstheme="majorBidi"/>
        </w:rPr>
        <w:t xml:space="preserve"> JN, </w:t>
      </w:r>
      <w:proofErr w:type="spellStart"/>
      <w:r w:rsidRPr="003D39CB">
        <w:rPr>
          <w:rFonts w:asciiTheme="majorBidi" w:eastAsiaTheme="minorHAnsi" w:hAnsiTheme="majorBidi" w:cstheme="majorBidi"/>
        </w:rPr>
        <w:t>Cruickshanks</w:t>
      </w:r>
      <w:proofErr w:type="spellEnd"/>
      <w:r w:rsidRPr="003D39CB">
        <w:rPr>
          <w:rFonts w:asciiTheme="majorBidi" w:eastAsiaTheme="minorHAnsi" w:hAnsiTheme="majorBidi" w:cstheme="majorBidi"/>
        </w:rPr>
        <w:t xml:space="preserve"> KJ, Lawler-</w:t>
      </w:r>
      <w:proofErr w:type="spellStart"/>
      <w:r w:rsidRPr="003D39CB">
        <w:rPr>
          <w:rFonts w:asciiTheme="majorBidi" w:eastAsiaTheme="minorHAnsi" w:hAnsiTheme="majorBidi" w:cstheme="majorBidi"/>
        </w:rPr>
        <w:t>Heavner</w:t>
      </w:r>
      <w:proofErr w:type="spellEnd"/>
      <w:r w:rsidRPr="003D39CB">
        <w:rPr>
          <w:rFonts w:asciiTheme="majorBidi" w:eastAsiaTheme="minorHAnsi" w:hAnsiTheme="majorBidi" w:cstheme="majorBidi"/>
        </w:rPr>
        <w:t xml:space="preserve"> J, et al. Early exposure to cow’s milk and solid foods in infancy, genetic predisposition, and risk of IDDM. Diabetes. 1993</w:t>
      </w:r>
      <w:proofErr w:type="gramStart"/>
      <w:r w:rsidRPr="003D39CB">
        <w:rPr>
          <w:rFonts w:asciiTheme="majorBidi" w:eastAsiaTheme="minorHAnsi" w:hAnsiTheme="majorBidi" w:cstheme="majorBidi"/>
        </w:rPr>
        <w:t>;42:288</w:t>
      </w:r>
      <w:proofErr w:type="gramEnd"/>
      <w:r w:rsidRPr="003D39CB">
        <w:rPr>
          <w:rFonts w:asciiTheme="majorBidi" w:eastAsiaTheme="minorHAnsi" w:hAnsiTheme="majorBidi" w:cstheme="majorBidi"/>
        </w:rPr>
        <w:t>–295. [</w:t>
      </w:r>
      <w:hyperlink r:id="rId39" w:tgtFrame="pmc_ext" w:history="1">
        <w:r w:rsidRPr="003D39CB">
          <w:rPr>
            <w:rFonts w:asciiTheme="majorBidi" w:eastAsiaTheme="minorHAnsi" w:hAnsiTheme="majorBidi" w:cstheme="majorBidi"/>
          </w:rPr>
          <w:t>PubMed</w:t>
        </w:r>
      </w:hyperlink>
      <w:r w:rsidRPr="003D39CB">
        <w:rPr>
          <w:rFonts w:asciiTheme="majorBidi" w:eastAsiaTheme="minorHAnsi" w:hAnsiTheme="majorBidi" w:cstheme="majorBidi"/>
        </w:rPr>
        <w:t>]</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17. Norris JM, Scott FW. A meta-analysis of infant diet and insulin-dependent diabetes mellitus: do biases play a role? Epidemiology. 1996</w:t>
      </w:r>
      <w:proofErr w:type="gramStart"/>
      <w:r w:rsidRPr="003D39CB">
        <w:rPr>
          <w:rFonts w:asciiTheme="majorBidi" w:eastAsiaTheme="minorHAnsi" w:hAnsiTheme="majorBidi" w:cstheme="majorBidi"/>
        </w:rPr>
        <w:t>;7:87</w:t>
      </w:r>
      <w:proofErr w:type="gramEnd"/>
      <w:r w:rsidRPr="003D39CB">
        <w:rPr>
          <w:rFonts w:asciiTheme="majorBidi" w:eastAsiaTheme="minorHAnsi" w:hAnsiTheme="majorBidi" w:cstheme="majorBidi"/>
        </w:rPr>
        <w:t>–92.</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18. Levin DL. </w:t>
      </w:r>
      <w:hyperlink r:id="rId40" w:history="1">
        <w:r w:rsidRPr="003D39CB">
          <w:rPr>
            <w:rFonts w:asciiTheme="majorBidi" w:eastAsiaTheme="minorHAnsi" w:hAnsiTheme="majorBidi" w:cstheme="majorBidi"/>
          </w:rPr>
          <w:t>Cerebral edema in diabetic ketoacidosis.</w:t>
        </w:r>
      </w:hyperlink>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Pediatr</w:t>
      </w:r>
      <w:proofErr w:type="spellEnd"/>
      <w:r w:rsidRPr="003D39CB">
        <w:rPr>
          <w:rFonts w:asciiTheme="majorBidi" w:eastAsiaTheme="minorHAnsi" w:hAnsiTheme="majorBidi" w:cstheme="majorBidi"/>
        </w:rPr>
        <w:t xml:space="preserve"> </w:t>
      </w:r>
      <w:proofErr w:type="spellStart"/>
      <w:r w:rsidRPr="003D39CB">
        <w:rPr>
          <w:rFonts w:asciiTheme="majorBidi" w:eastAsiaTheme="minorHAnsi" w:hAnsiTheme="majorBidi" w:cstheme="majorBidi"/>
        </w:rPr>
        <w:t>Crit</w:t>
      </w:r>
      <w:proofErr w:type="spellEnd"/>
      <w:r w:rsidRPr="003D39CB">
        <w:rPr>
          <w:rFonts w:asciiTheme="majorBidi" w:eastAsiaTheme="minorHAnsi" w:hAnsiTheme="majorBidi" w:cstheme="majorBidi"/>
        </w:rPr>
        <w:t xml:space="preserve"> Care Med. 2008 May</w:t>
      </w:r>
      <w:proofErr w:type="gramStart"/>
      <w:r w:rsidRPr="003D39CB">
        <w:rPr>
          <w:rFonts w:asciiTheme="majorBidi" w:eastAsiaTheme="minorHAnsi" w:hAnsiTheme="majorBidi" w:cstheme="majorBidi"/>
        </w:rPr>
        <w:t>;9</w:t>
      </w:r>
      <w:proofErr w:type="gramEnd"/>
      <w:r w:rsidRPr="003D39CB">
        <w:rPr>
          <w:rFonts w:asciiTheme="majorBidi" w:eastAsiaTheme="minorHAnsi" w:hAnsiTheme="majorBidi" w:cstheme="majorBidi"/>
        </w:rPr>
        <w:t xml:space="preserve">(3):320-9. </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19. Muir A. Cerebral Edema in Diabetic Ketoacidosis: A Look </w:t>
      </w:r>
      <w:proofErr w:type="gramStart"/>
      <w:r w:rsidRPr="003D39CB">
        <w:rPr>
          <w:rFonts w:asciiTheme="majorBidi" w:eastAsiaTheme="minorHAnsi" w:hAnsiTheme="majorBidi" w:cstheme="majorBidi"/>
        </w:rPr>
        <w:t>Beyond</w:t>
      </w:r>
      <w:proofErr w:type="gramEnd"/>
      <w:r w:rsidRPr="003D39CB">
        <w:rPr>
          <w:rFonts w:asciiTheme="majorBidi" w:eastAsiaTheme="minorHAnsi" w:hAnsiTheme="majorBidi" w:cstheme="majorBidi"/>
        </w:rPr>
        <w:t xml:space="preserve"> Rehydration. The Journal of Clinical Endocrinology &amp; Metabolism 2000</w:t>
      </w:r>
      <w:proofErr w:type="gramStart"/>
      <w:r w:rsidRPr="003D39CB">
        <w:rPr>
          <w:rFonts w:asciiTheme="majorBidi" w:eastAsiaTheme="minorHAnsi" w:hAnsiTheme="majorBidi" w:cstheme="majorBidi"/>
        </w:rPr>
        <w:t>;85</w:t>
      </w:r>
      <w:proofErr w:type="gramEnd"/>
      <w:r w:rsidRPr="003D39CB">
        <w:rPr>
          <w:rFonts w:asciiTheme="majorBidi" w:eastAsiaTheme="minorHAnsi" w:hAnsiTheme="majorBidi" w:cstheme="majorBidi"/>
        </w:rPr>
        <w:t xml:space="preserve">(2):509-13. </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20. </w:t>
      </w:r>
      <w:hyperlink r:id="rId41" w:history="1">
        <w:proofErr w:type="spellStart"/>
        <w:r w:rsidRPr="003D39CB">
          <w:rPr>
            <w:rFonts w:asciiTheme="majorBidi" w:eastAsiaTheme="minorHAnsi" w:hAnsiTheme="majorBidi" w:cstheme="majorBidi"/>
          </w:rPr>
          <w:t>Roh</w:t>
        </w:r>
        <w:proofErr w:type="spellEnd"/>
        <w:r w:rsidRPr="003D39CB">
          <w:rPr>
            <w:rFonts w:asciiTheme="majorBidi" w:eastAsiaTheme="minorHAnsi" w:hAnsiTheme="majorBidi" w:cstheme="majorBidi"/>
          </w:rPr>
          <w:t xml:space="preserve"> D</w:t>
        </w:r>
      </w:hyperlink>
      <w:r w:rsidRPr="003D39CB">
        <w:rPr>
          <w:rFonts w:asciiTheme="majorBidi" w:eastAsiaTheme="minorHAnsi" w:hAnsiTheme="majorBidi" w:cstheme="majorBidi"/>
        </w:rPr>
        <w:t>1, </w:t>
      </w:r>
      <w:proofErr w:type="spellStart"/>
      <w:r w:rsidR="00AD079F">
        <w:fldChar w:fldCharType="begin"/>
      </w:r>
      <w:r w:rsidR="00AD079F">
        <w:instrText xml:space="preserve"> HYPERLINK "https://www.ncbi.nlm.nih.gov/pubmed/?term=Merkler%20AE%5BAuthor%5D&amp;cauthor=true&amp;cauthor_uid=26992857" </w:instrText>
      </w:r>
      <w:r w:rsidR="00AD079F">
        <w:fldChar w:fldCharType="separate"/>
      </w:r>
      <w:r w:rsidRPr="003D39CB">
        <w:rPr>
          <w:rFonts w:asciiTheme="majorBidi" w:eastAsiaTheme="minorHAnsi" w:hAnsiTheme="majorBidi" w:cstheme="majorBidi"/>
        </w:rPr>
        <w:t>Merkler</w:t>
      </w:r>
      <w:proofErr w:type="spellEnd"/>
      <w:r w:rsidRPr="003D39CB">
        <w:rPr>
          <w:rFonts w:asciiTheme="majorBidi" w:eastAsiaTheme="minorHAnsi" w:hAnsiTheme="majorBidi" w:cstheme="majorBidi"/>
        </w:rPr>
        <w:t xml:space="preserve"> AE</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2, </w:t>
      </w:r>
      <w:hyperlink r:id="rId42" w:history="1">
        <w:r w:rsidRPr="003D39CB">
          <w:rPr>
            <w:rFonts w:asciiTheme="majorBidi" w:eastAsiaTheme="minorHAnsi" w:hAnsiTheme="majorBidi" w:cstheme="majorBidi"/>
          </w:rPr>
          <w:t>Al-Mufti F</w:t>
        </w:r>
      </w:hyperlink>
      <w:r w:rsidRPr="003D39CB">
        <w:rPr>
          <w:rFonts w:asciiTheme="majorBidi" w:eastAsiaTheme="minorHAnsi" w:hAnsiTheme="majorBidi" w:cstheme="majorBidi"/>
        </w:rPr>
        <w:t>2, </w:t>
      </w:r>
      <w:hyperlink r:id="rId43" w:history="1">
        <w:r w:rsidRPr="003D39CB">
          <w:rPr>
            <w:rFonts w:asciiTheme="majorBidi" w:eastAsiaTheme="minorHAnsi" w:hAnsiTheme="majorBidi" w:cstheme="majorBidi"/>
          </w:rPr>
          <w:t>Morris N</w:t>
        </w:r>
      </w:hyperlink>
      <w:r w:rsidRPr="003D39CB">
        <w:rPr>
          <w:rFonts w:asciiTheme="majorBidi" w:eastAsiaTheme="minorHAnsi" w:hAnsiTheme="majorBidi" w:cstheme="majorBidi"/>
        </w:rPr>
        <w:t>2, </w:t>
      </w:r>
      <w:hyperlink r:id="rId44" w:history="1">
        <w:r w:rsidRPr="003D39CB">
          <w:rPr>
            <w:rFonts w:asciiTheme="majorBidi" w:eastAsiaTheme="minorHAnsi" w:hAnsiTheme="majorBidi" w:cstheme="majorBidi"/>
          </w:rPr>
          <w:t>Agarwal S</w:t>
        </w:r>
      </w:hyperlink>
      <w:r w:rsidRPr="003D39CB">
        <w:rPr>
          <w:rFonts w:asciiTheme="majorBidi" w:eastAsiaTheme="minorHAnsi" w:hAnsiTheme="majorBidi" w:cstheme="majorBidi"/>
        </w:rPr>
        <w:t>2, </w:t>
      </w:r>
      <w:proofErr w:type="spellStart"/>
      <w:r w:rsidR="00AD079F">
        <w:fldChar w:fldCharType="begin"/>
      </w:r>
      <w:r w:rsidR="00AD079F">
        <w:instrText xml:space="preserve"> HYPERLINK "https://www.ncbi.nlm.nih.gov/pubmed/?term=Claassen%20J%5BAuthor%5D&amp;cauthor=true&amp;cauthor_uid=26992857" </w:instrText>
      </w:r>
      <w:r w:rsidR="00AD079F">
        <w:fldChar w:fldCharType="separate"/>
      </w:r>
      <w:r w:rsidRPr="003D39CB">
        <w:rPr>
          <w:rFonts w:asciiTheme="majorBidi" w:eastAsiaTheme="minorHAnsi" w:hAnsiTheme="majorBidi" w:cstheme="majorBidi"/>
        </w:rPr>
        <w:t>Claassen</w:t>
      </w:r>
      <w:proofErr w:type="spellEnd"/>
      <w:r w:rsidRPr="003D39CB">
        <w:rPr>
          <w:rFonts w:asciiTheme="majorBidi" w:eastAsiaTheme="minorHAnsi" w:hAnsiTheme="majorBidi" w:cstheme="majorBidi"/>
        </w:rPr>
        <w:t xml:space="preserve"> J</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2, </w:t>
      </w:r>
      <w:hyperlink r:id="rId45" w:history="1">
        <w:r w:rsidRPr="003D39CB">
          <w:rPr>
            <w:rFonts w:asciiTheme="majorBidi" w:eastAsiaTheme="minorHAnsi" w:hAnsiTheme="majorBidi" w:cstheme="majorBidi"/>
          </w:rPr>
          <w:t>Park S</w:t>
        </w:r>
      </w:hyperlink>
      <w:r w:rsidRPr="003D39CB">
        <w:rPr>
          <w:rFonts w:asciiTheme="majorBidi" w:eastAsiaTheme="minorHAnsi" w:hAnsiTheme="majorBidi" w:cstheme="majorBidi"/>
        </w:rPr>
        <w:t xml:space="preserve">2. Global cerebral edema from hypercapnic respiratory acidosis and response to hyperosmolar therapy. </w:t>
      </w:r>
      <w:hyperlink r:id="rId46" w:tooltip="Neurology." w:history="1">
        <w:r w:rsidRPr="003D39CB">
          <w:rPr>
            <w:rFonts w:asciiTheme="majorBidi" w:eastAsiaTheme="minorHAnsi" w:hAnsiTheme="majorBidi" w:cstheme="majorBidi"/>
          </w:rPr>
          <w:t>Neurology.</w:t>
        </w:r>
      </w:hyperlink>
      <w:r w:rsidRPr="003D39CB">
        <w:rPr>
          <w:rFonts w:asciiTheme="majorBidi" w:eastAsiaTheme="minorHAnsi" w:hAnsiTheme="majorBidi" w:cstheme="majorBidi"/>
        </w:rPr>
        <w:t> 2016 Apr 19</w:t>
      </w:r>
      <w:proofErr w:type="gramStart"/>
      <w:r w:rsidRPr="003D39CB">
        <w:rPr>
          <w:rFonts w:asciiTheme="majorBidi" w:eastAsiaTheme="minorHAnsi" w:hAnsiTheme="majorBidi" w:cstheme="majorBidi"/>
        </w:rPr>
        <w:t>;86</w:t>
      </w:r>
      <w:proofErr w:type="gramEnd"/>
      <w:r w:rsidRPr="003D39CB">
        <w:rPr>
          <w:rFonts w:asciiTheme="majorBidi" w:eastAsiaTheme="minorHAnsi" w:hAnsiTheme="majorBidi" w:cstheme="majorBidi"/>
        </w:rPr>
        <w:t xml:space="preserve">(16):1556-8.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xml:space="preserve">: 10.1212/WNL.0000000000002584. </w:t>
      </w:r>
      <w:proofErr w:type="spellStart"/>
      <w:r w:rsidRPr="003D39CB">
        <w:rPr>
          <w:rFonts w:asciiTheme="majorBidi" w:eastAsiaTheme="minorHAnsi" w:hAnsiTheme="majorBidi" w:cstheme="majorBidi"/>
        </w:rPr>
        <w:t>Epub</w:t>
      </w:r>
      <w:proofErr w:type="spellEnd"/>
      <w:r w:rsidRPr="003D39CB">
        <w:rPr>
          <w:rFonts w:asciiTheme="majorBidi" w:eastAsiaTheme="minorHAnsi" w:hAnsiTheme="majorBidi" w:cstheme="majorBidi"/>
        </w:rPr>
        <w:t xml:space="preserve"> 2016 Mar 18.</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r w:rsidRPr="003D39CB">
        <w:rPr>
          <w:rFonts w:asciiTheme="majorBidi" w:eastAsiaTheme="minorHAnsi" w:hAnsiTheme="majorBidi" w:cstheme="majorBidi"/>
        </w:rPr>
        <w:t xml:space="preserve">21. </w:t>
      </w:r>
      <w:hyperlink r:id="rId47" w:history="1">
        <w:r w:rsidRPr="003D39CB">
          <w:rPr>
            <w:rFonts w:asciiTheme="majorBidi" w:eastAsiaTheme="minorHAnsi" w:hAnsiTheme="majorBidi" w:cstheme="majorBidi"/>
          </w:rPr>
          <w:t>Kong X</w:t>
        </w:r>
      </w:hyperlink>
      <w:r w:rsidRPr="003D39CB">
        <w:rPr>
          <w:rFonts w:asciiTheme="majorBidi" w:eastAsiaTheme="minorHAnsi" w:hAnsiTheme="majorBidi" w:cstheme="majorBidi"/>
        </w:rPr>
        <w:t>1, </w:t>
      </w:r>
      <w:hyperlink r:id="rId48" w:history="1">
        <w:r w:rsidRPr="003D39CB">
          <w:rPr>
            <w:rFonts w:asciiTheme="majorBidi" w:eastAsiaTheme="minorHAnsi" w:hAnsiTheme="majorBidi" w:cstheme="majorBidi"/>
          </w:rPr>
          <w:t>Wen JQ</w:t>
        </w:r>
      </w:hyperlink>
      <w:r w:rsidRPr="003D39CB">
        <w:rPr>
          <w:rFonts w:asciiTheme="majorBidi" w:eastAsiaTheme="minorHAnsi" w:hAnsiTheme="majorBidi" w:cstheme="majorBidi"/>
        </w:rPr>
        <w:t>, </w:t>
      </w:r>
      <w:hyperlink r:id="rId49" w:history="1">
        <w:r w:rsidRPr="003D39CB">
          <w:rPr>
            <w:rFonts w:asciiTheme="majorBidi" w:eastAsiaTheme="minorHAnsi" w:hAnsiTheme="majorBidi" w:cstheme="majorBidi"/>
          </w:rPr>
          <w:t>Qi RF</w:t>
        </w:r>
      </w:hyperlink>
      <w:r w:rsidRPr="003D39CB">
        <w:rPr>
          <w:rFonts w:asciiTheme="majorBidi" w:eastAsiaTheme="minorHAnsi" w:hAnsiTheme="majorBidi" w:cstheme="majorBidi"/>
        </w:rPr>
        <w:t>, </w:t>
      </w:r>
      <w:hyperlink r:id="rId50" w:history="1">
        <w:r w:rsidRPr="003D39CB">
          <w:rPr>
            <w:rFonts w:asciiTheme="majorBidi" w:eastAsiaTheme="minorHAnsi" w:hAnsiTheme="majorBidi" w:cstheme="majorBidi"/>
          </w:rPr>
          <w:t>Luo S</w:t>
        </w:r>
      </w:hyperlink>
      <w:r w:rsidRPr="003D39CB">
        <w:rPr>
          <w:rFonts w:asciiTheme="majorBidi" w:eastAsiaTheme="minorHAnsi" w:hAnsiTheme="majorBidi" w:cstheme="majorBidi"/>
        </w:rPr>
        <w:t>, </w:t>
      </w:r>
      <w:proofErr w:type="spellStart"/>
      <w:r w:rsidR="00AD079F">
        <w:fldChar w:fldCharType="begin"/>
      </w:r>
      <w:r w:rsidR="00AD079F">
        <w:instrText xml:space="preserve"> HYPERLINK "https://www.ncbi.nlm.nih.gov/pubmed/?term=Zhong%20JH%5BAuthor%5D&amp;cautho</w:instrText>
      </w:r>
      <w:r w:rsidR="00AD079F">
        <w:instrText xml:space="preserve">r=true&amp;cauthor_uid=25526483" </w:instrText>
      </w:r>
      <w:r w:rsidR="00AD079F">
        <w:fldChar w:fldCharType="separate"/>
      </w:r>
      <w:r w:rsidRPr="003D39CB">
        <w:rPr>
          <w:rFonts w:asciiTheme="majorBidi" w:eastAsiaTheme="minorHAnsi" w:hAnsiTheme="majorBidi" w:cstheme="majorBidi"/>
        </w:rPr>
        <w:t>Zhong</w:t>
      </w:r>
      <w:proofErr w:type="spellEnd"/>
      <w:r w:rsidRPr="003D39CB">
        <w:rPr>
          <w:rFonts w:asciiTheme="majorBidi" w:eastAsiaTheme="minorHAnsi" w:hAnsiTheme="majorBidi" w:cstheme="majorBidi"/>
        </w:rPr>
        <w:t xml:space="preserve"> JH</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w:t>
      </w:r>
      <w:hyperlink r:id="rId51" w:history="1">
        <w:r w:rsidRPr="003D39CB">
          <w:rPr>
            <w:rFonts w:asciiTheme="majorBidi" w:eastAsiaTheme="minorHAnsi" w:hAnsiTheme="majorBidi" w:cstheme="majorBidi"/>
          </w:rPr>
          <w:t>Chen HJ</w:t>
        </w:r>
      </w:hyperlink>
      <w:r w:rsidRPr="003D39CB">
        <w:rPr>
          <w:rFonts w:asciiTheme="majorBidi" w:eastAsiaTheme="minorHAnsi" w:hAnsiTheme="majorBidi" w:cstheme="majorBidi"/>
        </w:rPr>
        <w:t>, </w:t>
      </w:r>
      <w:proofErr w:type="spellStart"/>
      <w:r w:rsidR="00AD079F">
        <w:fldChar w:fldCharType="begin"/>
      </w:r>
      <w:r w:rsidR="00AD079F">
        <w:instrText xml:space="preserve"> HYPERLINK "https://www.ncbi.nlm.nih.gov/pubmed/?term=Ji%20GJ%5BAuthor%5D&amp;cauthor=true&amp;caut</w:instrText>
      </w:r>
      <w:r w:rsidR="00AD079F">
        <w:instrText xml:space="preserve">hor_uid=25526483" </w:instrText>
      </w:r>
      <w:r w:rsidR="00AD079F">
        <w:fldChar w:fldCharType="separate"/>
      </w:r>
      <w:r w:rsidRPr="003D39CB">
        <w:rPr>
          <w:rFonts w:asciiTheme="majorBidi" w:eastAsiaTheme="minorHAnsi" w:hAnsiTheme="majorBidi" w:cstheme="majorBidi"/>
        </w:rPr>
        <w:t>Ji</w:t>
      </w:r>
      <w:proofErr w:type="spellEnd"/>
      <w:r w:rsidRPr="003D39CB">
        <w:rPr>
          <w:rFonts w:asciiTheme="majorBidi" w:eastAsiaTheme="minorHAnsi" w:hAnsiTheme="majorBidi" w:cstheme="majorBidi"/>
        </w:rPr>
        <w:t xml:space="preserve"> GJ</w:t>
      </w:r>
      <w:r w:rsidR="00AD079F">
        <w:rPr>
          <w:rFonts w:asciiTheme="majorBidi" w:eastAsiaTheme="minorHAnsi" w:hAnsiTheme="majorBidi" w:cstheme="majorBidi"/>
        </w:rPr>
        <w:fldChar w:fldCharType="end"/>
      </w:r>
      <w:r w:rsidRPr="003D39CB">
        <w:rPr>
          <w:rFonts w:asciiTheme="majorBidi" w:eastAsiaTheme="minorHAnsi" w:hAnsiTheme="majorBidi" w:cstheme="majorBidi"/>
        </w:rPr>
        <w:t>, </w:t>
      </w:r>
      <w:hyperlink r:id="rId52" w:history="1">
        <w:r w:rsidRPr="003D39CB">
          <w:rPr>
            <w:rFonts w:asciiTheme="majorBidi" w:eastAsiaTheme="minorHAnsi" w:hAnsiTheme="majorBidi" w:cstheme="majorBidi"/>
          </w:rPr>
          <w:t>Lu GM</w:t>
        </w:r>
      </w:hyperlink>
      <w:r w:rsidRPr="003D39CB">
        <w:rPr>
          <w:rFonts w:asciiTheme="majorBidi" w:eastAsiaTheme="minorHAnsi" w:hAnsiTheme="majorBidi" w:cstheme="majorBidi"/>
        </w:rPr>
        <w:t>, </w:t>
      </w:r>
      <w:hyperlink r:id="rId53" w:history="1">
        <w:r w:rsidRPr="003D39CB">
          <w:rPr>
            <w:rFonts w:asciiTheme="majorBidi" w:eastAsiaTheme="minorHAnsi" w:hAnsiTheme="majorBidi" w:cstheme="majorBidi"/>
          </w:rPr>
          <w:t>Zhang LJ</w:t>
        </w:r>
      </w:hyperlink>
      <w:r w:rsidRPr="003D39CB">
        <w:rPr>
          <w:rFonts w:asciiTheme="majorBidi" w:eastAsiaTheme="minorHAnsi" w:hAnsiTheme="majorBidi" w:cstheme="majorBidi"/>
        </w:rPr>
        <w:t>. Diffuse interstitial brain edema in patients with end-stage renaldisease undergoing hemodialysis: a tract-based spatial </w:t>
      </w:r>
      <w:proofErr w:type="spellStart"/>
      <w:r w:rsidRPr="003D39CB">
        <w:rPr>
          <w:rFonts w:asciiTheme="majorBidi" w:eastAsiaTheme="minorHAnsi" w:hAnsiTheme="majorBidi" w:cstheme="majorBidi"/>
        </w:rPr>
        <w:t>statisticsstudy</w:t>
      </w:r>
      <w:proofErr w:type="spellEnd"/>
      <w:r w:rsidRPr="003D39CB">
        <w:rPr>
          <w:rFonts w:asciiTheme="majorBidi" w:eastAsiaTheme="minorHAnsi" w:hAnsiTheme="majorBidi" w:cstheme="majorBidi"/>
        </w:rPr>
        <w:t xml:space="preserve">. </w:t>
      </w:r>
      <w:hyperlink r:id="rId54" w:tooltip="Medicine." w:history="1">
        <w:r w:rsidRPr="003D39CB">
          <w:rPr>
            <w:rFonts w:asciiTheme="majorBidi" w:eastAsiaTheme="minorHAnsi" w:hAnsiTheme="majorBidi" w:cstheme="majorBidi"/>
          </w:rPr>
          <w:t>Medicine (Baltimore).</w:t>
        </w:r>
      </w:hyperlink>
      <w:r w:rsidRPr="003D39CB">
        <w:rPr>
          <w:rFonts w:asciiTheme="majorBidi" w:eastAsiaTheme="minorHAnsi" w:hAnsiTheme="majorBidi" w:cstheme="majorBidi"/>
        </w:rPr>
        <w:t> 2014 Dec</w:t>
      </w:r>
      <w:proofErr w:type="gramStart"/>
      <w:r w:rsidRPr="003D39CB">
        <w:rPr>
          <w:rFonts w:asciiTheme="majorBidi" w:eastAsiaTheme="minorHAnsi" w:hAnsiTheme="majorBidi" w:cstheme="majorBidi"/>
        </w:rPr>
        <w:t>;93</w:t>
      </w:r>
      <w:proofErr w:type="gramEnd"/>
      <w:r w:rsidRPr="003D39CB">
        <w:rPr>
          <w:rFonts w:asciiTheme="majorBidi" w:eastAsiaTheme="minorHAnsi" w:hAnsiTheme="majorBidi" w:cstheme="majorBidi"/>
        </w:rPr>
        <w:t xml:space="preserve">(28):e313. </w:t>
      </w:r>
      <w:proofErr w:type="spellStart"/>
      <w:proofErr w:type="gramStart"/>
      <w:r w:rsidRPr="003D39CB">
        <w:rPr>
          <w:rFonts w:asciiTheme="majorBidi" w:eastAsiaTheme="minorHAnsi" w:hAnsiTheme="majorBidi" w:cstheme="majorBidi"/>
        </w:rPr>
        <w:t>doi</w:t>
      </w:r>
      <w:proofErr w:type="spellEnd"/>
      <w:proofErr w:type="gramEnd"/>
      <w:r w:rsidRPr="003D39CB">
        <w:rPr>
          <w:rFonts w:asciiTheme="majorBidi" w:eastAsiaTheme="minorHAnsi" w:hAnsiTheme="majorBidi" w:cstheme="majorBidi"/>
        </w:rPr>
        <w:t>: 10.1097/MD.0000000000000313.</w:t>
      </w: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p>
    <w:p w:rsidR="00A26504" w:rsidRPr="003D39CB" w:rsidRDefault="00A26504" w:rsidP="003D39CB">
      <w:pPr>
        <w:pStyle w:val="desc"/>
        <w:spacing w:before="0" w:beforeAutospacing="0" w:after="0" w:afterAutospacing="0" w:line="480" w:lineRule="auto"/>
        <w:jc w:val="both"/>
        <w:rPr>
          <w:rFonts w:asciiTheme="majorBidi" w:eastAsiaTheme="minorHAnsi" w:hAnsiTheme="majorBidi" w:cstheme="majorBidi"/>
        </w:rPr>
      </w:pP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p>
    <w:p w:rsidR="00A26504" w:rsidRPr="003D39CB" w:rsidRDefault="00A26504" w:rsidP="003D39CB">
      <w:pPr>
        <w:pStyle w:val="desc"/>
        <w:shd w:val="clear" w:color="auto" w:fill="FFFFFF"/>
        <w:spacing w:before="0" w:beforeAutospacing="0" w:after="0" w:afterAutospacing="0" w:line="480" w:lineRule="auto"/>
        <w:jc w:val="both"/>
        <w:rPr>
          <w:rFonts w:asciiTheme="majorBidi" w:eastAsiaTheme="minorHAnsi" w:hAnsiTheme="majorBidi" w:cstheme="majorBidi"/>
        </w:rPr>
      </w:pPr>
    </w:p>
    <w:p w:rsidR="00A26504" w:rsidRPr="003D39CB" w:rsidRDefault="00A26504" w:rsidP="003D39CB">
      <w:pPr>
        <w:shd w:val="clear" w:color="auto" w:fill="FFFFFF"/>
        <w:bidi w:val="0"/>
        <w:spacing w:after="0" w:line="480" w:lineRule="auto"/>
        <w:jc w:val="both"/>
        <w:rPr>
          <w:rFonts w:asciiTheme="majorBidi" w:hAnsiTheme="majorBidi" w:cstheme="majorBidi"/>
          <w:sz w:val="24"/>
          <w:szCs w:val="24"/>
        </w:rPr>
      </w:pPr>
    </w:p>
    <w:p w:rsidR="00A26504" w:rsidRPr="003D39CB" w:rsidRDefault="00A26504" w:rsidP="003D39CB">
      <w:pPr>
        <w:shd w:val="clear" w:color="auto" w:fill="FFFFFF"/>
        <w:bidi w:val="0"/>
        <w:spacing w:after="0" w:line="480" w:lineRule="auto"/>
        <w:jc w:val="both"/>
        <w:rPr>
          <w:rFonts w:asciiTheme="majorBidi" w:hAnsiTheme="majorBidi" w:cstheme="majorBidi"/>
          <w:color w:val="000000"/>
          <w:sz w:val="24"/>
          <w:szCs w:val="24"/>
        </w:rPr>
      </w:pPr>
    </w:p>
    <w:p w:rsidR="00A26504" w:rsidRPr="003D39CB" w:rsidRDefault="00A26504" w:rsidP="003D39CB">
      <w:pPr>
        <w:bidi w:val="0"/>
        <w:spacing w:after="0" w:line="480" w:lineRule="auto"/>
        <w:jc w:val="both"/>
        <w:rPr>
          <w:rFonts w:asciiTheme="majorBidi" w:hAnsiTheme="majorBidi" w:cstheme="majorBidi"/>
          <w:sz w:val="24"/>
          <w:szCs w:val="24"/>
        </w:rPr>
      </w:pPr>
    </w:p>
    <w:p w:rsidR="00A26504" w:rsidRPr="003D39CB" w:rsidRDefault="00A26504" w:rsidP="003D39CB">
      <w:pPr>
        <w:bidi w:val="0"/>
        <w:spacing w:after="0" w:line="480" w:lineRule="auto"/>
        <w:jc w:val="both"/>
        <w:rPr>
          <w:rFonts w:asciiTheme="majorBidi" w:hAnsiTheme="majorBidi" w:cstheme="majorBidi"/>
          <w:sz w:val="24"/>
          <w:szCs w:val="24"/>
        </w:rPr>
      </w:pPr>
    </w:p>
    <w:p w:rsidR="004E357F" w:rsidRPr="003D39CB" w:rsidRDefault="004E357F"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4E357F" w:rsidRPr="003D39CB" w:rsidRDefault="004E357F"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4E357F" w:rsidRPr="003D39CB" w:rsidRDefault="004E357F"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4E357F" w:rsidRPr="003D39CB" w:rsidRDefault="004E357F" w:rsidP="00A130C6">
      <w:pPr>
        <w:autoSpaceDE w:val="0"/>
        <w:autoSpaceDN w:val="0"/>
        <w:bidi w:val="0"/>
        <w:adjustRightInd w:val="0"/>
        <w:spacing w:after="0" w:line="480" w:lineRule="auto"/>
        <w:jc w:val="both"/>
        <w:rPr>
          <w:rFonts w:asciiTheme="majorBidi" w:eastAsia="Times New Roman" w:hAnsiTheme="majorBidi" w:cstheme="majorBidi"/>
          <w:color w:val="000000"/>
          <w:sz w:val="24"/>
          <w:szCs w:val="24"/>
          <w:lang w:bidi="ar-SA"/>
        </w:rPr>
      </w:pPr>
      <w:r w:rsidRPr="003D39CB">
        <w:rPr>
          <w:rFonts w:asciiTheme="majorBidi" w:eastAsia="Times New Roman" w:hAnsiTheme="majorBidi" w:cstheme="majorBidi"/>
          <w:color w:val="000000"/>
          <w:sz w:val="24"/>
          <w:szCs w:val="24"/>
          <w:lang w:bidi="ar-SA"/>
        </w:rPr>
        <w:t xml:space="preserve">Table 1: </w:t>
      </w:r>
      <w:r w:rsidR="00A26504" w:rsidRPr="003D39CB">
        <w:rPr>
          <w:rFonts w:asciiTheme="majorBidi" w:eastAsia="Times New Roman" w:hAnsiTheme="majorBidi" w:cstheme="majorBidi"/>
          <w:color w:val="000000"/>
          <w:sz w:val="24"/>
          <w:szCs w:val="24"/>
          <w:lang w:bidi="ar-SA"/>
        </w:rPr>
        <w:t xml:space="preserve">Multivariable logistic regression model to determine parameters predicting cerebral edema due to DKA in children </w:t>
      </w:r>
    </w:p>
    <w:tbl>
      <w:tblPr>
        <w:tblStyle w:val="TableGrid"/>
        <w:tblW w:w="9180" w:type="dxa"/>
        <w:tblLayout w:type="fixed"/>
        <w:tblLook w:val="0000" w:firstRow="0" w:lastRow="0" w:firstColumn="0" w:lastColumn="0" w:noHBand="0" w:noVBand="0"/>
      </w:tblPr>
      <w:tblGrid>
        <w:gridCol w:w="1951"/>
        <w:gridCol w:w="1418"/>
        <w:gridCol w:w="1701"/>
        <w:gridCol w:w="1559"/>
        <w:gridCol w:w="1276"/>
        <w:gridCol w:w="1275"/>
      </w:tblGrid>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sz w:val="24"/>
                <w:szCs w:val="24"/>
              </w:rPr>
            </w:pPr>
            <w:r w:rsidRPr="003D39CB">
              <w:rPr>
                <w:rFonts w:asciiTheme="majorBidi" w:hAnsiTheme="majorBidi" w:cstheme="majorBidi"/>
                <w:sz w:val="24"/>
                <w:szCs w:val="24"/>
              </w:rPr>
              <w:t xml:space="preserve">Item </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Beta</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Standard Error</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Wald</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P value</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OR</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Formula use</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-7.804</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3.350</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5.429</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0.020</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4.153</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GCS</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-1.875</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1.063</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3.109</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0.078</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0.153</w:t>
            </w:r>
          </w:p>
        </w:tc>
      </w:tr>
      <w:tr w:rsidR="004E357F" w:rsidRPr="003D39CB" w:rsidTr="004E357F">
        <w:tc>
          <w:tcPr>
            <w:tcW w:w="1951" w:type="dxa"/>
          </w:tcPr>
          <w:p w:rsidR="004E357F" w:rsidRPr="003D39CB" w:rsidRDefault="00C824B9"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T</w:t>
            </w:r>
            <w:r w:rsidR="004E357F" w:rsidRPr="003D39CB">
              <w:rPr>
                <w:rFonts w:asciiTheme="majorBidi" w:hAnsiTheme="majorBidi" w:cstheme="majorBidi"/>
                <w:color w:val="000000"/>
                <w:sz w:val="24"/>
                <w:szCs w:val="24"/>
              </w:rPr>
              <w:t>achypnea</w:t>
            </w:r>
            <w:r w:rsidRPr="003D39CB">
              <w:rPr>
                <w:rFonts w:asciiTheme="majorBidi" w:hAnsiTheme="majorBidi" w:cstheme="majorBidi"/>
                <w:color w:val="000000"/>
                <w:sz w:val="24"/>
                <w:szCs w:val="24"/>
              </w:rPr>
              <w:t xml:space="preserve"> </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-5.926</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2.685</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4.872</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0.027</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3.342</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HCO3</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1.547</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1.037</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2.227</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0.136</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4.699</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PCO2</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-0.394</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0.263</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2.252</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0.133</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0.674</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WBC</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-0.084</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0.076</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1.225</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0.268</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0.920</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HB</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0.656</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0.887</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0.547</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0.460</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1.927</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PH</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0.858</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9.307</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0.008</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0.927</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2.358</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ESR</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0.192</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0.137</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1.972</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0.160</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1.212</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CRP</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-0.073</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0.065</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1.289</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0.256</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0.929</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CR</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-6.520</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2.920</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4.984</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0.026</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1.658</w:t>
            </w:r>
          </w:p>
        </w:tc>
      </w:tr>
      <w:tr w:rsidR="004E357F" w:rsidRPr="003D39CB" w:rsidTr="004E357F">
        <w:tc>
          <w:tcPr>
            <w:tcW w:w="1951" w:type="dxa"/>
          </w:tcPr>
          <w:p w:rsidR="004E357F" w:rsidRPr="003D39CB" w:rsidRDefault="00C824B9"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A</w:t>
            </w:r>
            <w:r w:rsidR="004E357F" w:rsidRPr="003D39CB">
              <w:rPr>
                <w:rFonts w:asciiTheme="majorBidi" w:hAnsiTheme="majorBidi" w:cstheme="majorBidi"/>
                <w:color w:val="000000"/>
                <w:sz w:val="24"/>
                <w:szCs w:val="24"/>
              </w:rPr>
              <w:t>ge</w:t>
            </w:r>
            <w:r w:rsidRPr="003D39CB">
              <w:rPr>
                <w:rFonts w:asciiTheme="majorBidi" w:hAnsiTheme="majorBidi" w:cstheme="majorBidi"/>
                <w:color w:val="000000"/>
                <w:sz w:val="24"/>
                <w:szCs w:val="24"/>
              </w:rPr>
              <w:t xml:space="preserve"> </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-0.316</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0.267</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1.397</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0.237</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0.729</w:t>
            </w:r>
          </w:p>
        </w:tc>
      </w:tr>
      <w:tr w:rsidR="004E357F" w:rsidRPr="003D39CB" w:rsidTr="004E357F">
        <w:tc>
          <w:tcPr>
            <w:tcW w:w="195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Constant</w:t>
            </w:r>
          </w:p>
        </w:tc>
        <w:tc>
          <w:tcPr>
            <w:tcW w:w="1418"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31.416</w:t>
            </w:r>
          </w:p>
        </w:tc>
        <w:tc>
          <w:tcPr>
            <w:tcW w:w="1701"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78.564</w:t>
            </w:r>
          </w:p>
        </w:tc>
        <w:tc>
          <w:tcPr>
            <w:tcW w:w="1559"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0.160</w:t>
            </w:r>
          </w:p>
        </w:tc>
        <w:tc>
          <w:tcPr>
            <w:tcW w:w="1276"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0.689</w:t>
            </w:r>
          </w:p>
        </w:tc>
        <w:tc>
          <w:tcPr>
            <w:tcW w:w="1275" w:type="dxa"/>
          </w:tcPr>
          <w:p w:rsidR="004E357F" w:rsidRPr="003D39CB" w:rsidRDefault="004E357F" w:rsidP="003D39CB">
            <w:pPr>
              <w:autoSpaceDE w:val="0"/>
              <w:autoSpaceDN w:val="0"/>
              <w:bidi w:val="0"/>
              <w:adjustRightInd w:val="0"/>
              <w:spacing w:line="480" w:lineRule="auto"/>
              <w:jc w:val="both"/>
              <w:rPr>
                <w:rFonts w:asciiTheme="majorBidi" w:hAnsiTheme="majorBidi" w:cstheme="majorBidi"/>
                <w:color w:val="000000"/>
                <w:sz w:val="24"/>
                <w:szCs w:val="24"/>
              </w:rPr>
            </w:pPr>
            <w:r w:rsidRPr="003D39CB">
              <w:rPr>
                <w:rFonts w:asciiTheme="majorBidi" w:hAnsiTheme="majorBidi" w:cstheme="majorBidi"/>
                <w:color w:val="000000"/>
                <w:sz w:val="24"/>
                <w:szCs w:val="24"/>
              </w:rPr>
              <w:t>4.4013</w:t>
            </w:r>
          </w:p>
        </w:tc>
      </w:tr>
    </w:tbl>
    <w:p w:rsidR="00A97BAB" w:rsidRPr="003D39CB" w:rsidRDefault="00A97BAB" w:rsidP="003D39CB">
      <w:pPr>
        <w:autoSpaceDE w:val="0"/>
        <w:autoSpaceDN w:val="0"/>
        <w:bidi w:val="0"/>
        <w:adjustRightInd w:val="0"/>
        <w:spacing w:after="0" w:line="480" w:lineRule="auto"/>
        <w:jc w:val="both"/>
        <w:rPr>
          <w:rFonts w:asciiTheme="majorBidi" w:hAnsiTheme="majorBidi" w:cstheme="majorBidi"/>
          <w:sz w:val="24"/>
          <w:szCs w:val="24"/>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color w:val="000000"/>
          <w:sz w:val="24"/>
          <w:szCs w:val="24"/>
          <w:shd w:val="clear" w:color="auto" w:fill="FFFFFF"/>
        </w:rPr>
      </w:pPr>
    </w:p>
    <w:p w:rsidR="00C824B9" w:rsidRPr="003D39CB" w:rsidRDefault="00C824B9" w:rsidP="00A130C6">
      <w:pPr>
        <w:autoSpaceDE w:val="0"/>
        <w:autoSpaceDN w:val="0"/>
        <w:bidi w:val="0"/>
        <w:adjustRightInd w:val="0"/>
        <w:spacing w:after="0" w:line="480" w:lineRule="auto"/>
        <w:jc w:val="both"/>
        <w:rPr>
          <w:rFonts w:asciiTheme="majorBidi" w:hAnsiTheme="majorBidi" w:cstheme="majorBidi"/>
          <w:sz w:val="24"/>
          <w:szCs w:val="24"/>
        </w:rPr>
      </w:pPr>
      <w:r w:rsidRPr="003D39CB">
        <w:rPr>
          <w:rFonts w:asciiTheme="majorBidi" w:hAnsiTheme="majorBidi" w:cstheme="majorBidi"/>
          <w:noProof/>
          <w:sz w:val="24"/>
          <w:szCs w:val="24"/>
        </w:rPr>
        <w:drawing>
          <wp:inline distT="0" distB="0" distL="0" distR="0" wp14:anchorId="5C57CA27" wp14:editId="2EF31A9A">
            <wp:extent cx="598932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89320" cy="4800600"/>
                    </a:xfrm>
                    <a:prstGeom prst="rect">
                      <a:avLst/>
                    </a:prstGeom>
                    <a:noFill/>
                    <a:ln>
                      <a:noFill/>
                    </a:ln>
                  </pic:spPr>
                </pic:pic>
              </a:graphicData>
            </a:graphic>
          </wp:inline>
        </w:drawing>
      </w:r>
    </w:p>
    <w:p w:rsidR="00C824B9" w:rsidRPr="003D39CB" w:rsidRDefault="00A130C6" w:rsidP="003D39CB">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Figure 1: The ROC curve analysis to assess the role of raised creatinine and tachypnea to predict cerebral edema </w:t>
      </w:r>
    </w:p>
    <w:p w:rsidR="00C824B9" w:rsidRPr="003D39CB" w:rsidRDefault="00C824B9" w:rsidP="003D39CB">
      <w:pPr>
        <w:autoSpaceDE w:val="0"/>
        <w:autoSpaceDN w:val="0"/>
        <w:bidi w:val="0"/>
        <w:adjustRightInd w:val="0"/>
        <w:spacing w:after="0" w:line="480" w:lineRule="auto"/>
        <w:jc w:val="both"/>
        <w:rPr>
          <w:rFonts w:asciiTheme="majorBidi" w:hAnsiTheme="majorBidi" w:cstheme="majorBidi"/>
          <w:sz w:val="24"/>
          <w:szCs w:val="24"/>
        </w:rPr>
      </w:pPr>
    </w:p>
    <w:p w:rsidR="004028FE" w:rsidRPr="003D39CB" w:rsidRDefault="007A65C5" w:rsidP="003D39CB">
      <w:pPr>
        <w:bidi w:val="0"/>
        <w:spacing w:after="0" w:line="480" w:lineRule="auto"/>
        <w:jc w:val="both"/>
        <w:rPr>
          <w:rFonts w:asciiTheme="majorBidi" w:hAnsiTheme="majorBidi" w:cstheme="majorBidi"/>
          <w:color w:val="000000"/>
          <w:sz w:val="24"/>
          <w:szCs w:val="24"/>
          <w:shd w:val="clear" w:color="auto" w:fill="FFFFFF"/>
        </w:rPr>
      </w:pPr>
      <w:r w:rsidRPr="003D39CB">
        <w:rPr>
          <w:rFonts w:asciiTheme="majorBidi" w:hAnsiTheme="majorBidi" w:cstheme="majorBidi"/>
          <w:color w:val="000000"/>
          <w:sz w:val="24"/>
          <w:szCs w:val="24"/>
          <w:shd w:val="clear" w:color="auto" w:fill="FFFFFF"/>
        </w:rPr>
        <w:t xml:space="preserve">  </w:t>
      </w:r>
      <w:r w:rsidR="004028FE" w:rsidRPr="003D39CB">
        <w:rPr>
          <w:rFonts w:asciiTheme="majorBidi" w:hAnsiTheme="majorBidi" w:cstheme="majorBidi"/>
          <w:color w:val="000000"/>
          <w:sz w:val="24"/>
          <w:szCs w:val="24"/>
          <w:shd w:val="clear" w:color="auto" w:fill="FFFFFF"/>
        </w:rPr>
        <w:t xml:space="preserve"> </w:t>
      </w:r>
      <w:r w:rsidR="00BF7625" w:rsidRPr="003D39CB">
        <w:rPr>
          <w:rFonts w:asciiTheme="majorBidi" w:hAnsiTheme="majorBidi" w:cstheme="majorBidi"/>
          <w:color w:val="000000"/>
          <w:sz w:val="24"/>
          <w:szCs w:val="24"/>
          <w:shd w:val="clear" w:color="auto" w:fill="FFFFFF"/>
        </w:rPr>
        <w:t xml:space="preserve"> </w:t>
      </w:r>
    </w:p>
    <w:sectPr w:rsidR="004028FE" w:rsidRPr="003D39CB" w:rsidSect="00307071">
      <w:footerReference w:type="default" r:id="rId5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79F" w:rsidRDefault="00AD079F" w:rsidP="003F45AD">
      <w:pPr>
        <w:spacing w:after="0" w:line="240" w:lineRule="auto"/>
      </w:pPr>
      <w:r>
        <w:separator/>
      </w:r>
    </w:p>
  </w:endnote>
  <w:endnote w:type="continuationSeparator" w:id="0">
    <w:p w:rsidR="00AD079F" w:rsidRDefault="00AD079F" w:rsidP="003F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0706714"/>
      <w:docPartObj>
        <w:docPartGallery w:val="Page Numbers (Bottom of Page)"/>
        <w:docPartUnique/>
      </w:docPartObj>
    </w:sdtPr>
    <w:sdtEndPr/>
    <w:sdtContent>
      <w:p w:rsidR="003F45AD" w:rsidRDefault="003F45AD">
        <w:pPr>
          <w:pStyle w:val="Footer"/>
          <w:jc w:val="center"/>
        </w:pPr>
        <w:r>
          <w:fldChar w:fldCharType="begin"/>
        </w:r>
        <w:r>
          <w:instrText xml:space="preserve"> PAGE   \* MERGEFORMAT </w:instrText>
        </w:r>
        <w:r>
          <w:fldChar w:fldCharType="separate"/>
        </w:r>
        <w:r w:rsidR="00ED5DE6">
          <w:rPr>
            <w:noProof/>
            <w:rtl/>
          </w:rPr>
          <w:t>13</w:t>
        </w:r>
        <w:r>
          <w:rPr>
            <w:noProof/>
          </w:rPr>
          <w:fldChar w:fldCharType="end"/>
        </w:r>
      </w:p>
    </w:sdtContent>
  </w:sdt>
  <w:p w:rsidR="003F45AD" w:rsidRDefault="003F4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79F" w:rsidRDefault="00AD079F" w:rsidP="003F45AD">
      <w:pPr>
        <w:spacing w:after="0" w:line="240" w:lineRule="auto"/>
      </w:pPr>
      <w:r>
        <w:separator/>
      </w:r>
    </w:p>
  </w:footnote>
  <w:footnote w:type="continuationSeparator" w:id="0">
    <w:p w:rsidR="00AD079F" w:rsidRDefault="00AD079F" w:rsidP="003F4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3A"/>
    <w:rsid w:val="0001228D"/>
    <w:rsid w:val="00030918"/>
    <w:rsid w:val="0008266A"/>
    <w:rsid w:val="000D1A26"/>
    <w:rsid w:val="00166AAE"/>
    <w:rsid w:val="001C37C6"/>
    <w:rsid w:val="001E3C9C"/>
    <w:rsid w:val="001E3F07"/>
    <w:rsid w:val="001F473F"/>
    <w:rsid w:val="001F781F"/>
    <w:rsid w:val="002500CB"/>
    <w:rsid w:val="00307071"/>
    <w:rsid w:val="0036258B"/>
    <w:rsid w:val="003D39CB"/>
    <w:rsid w:val="003E4E9C"/>
    <w:rsid w:val="003F45AD"/>
    <w:rsid w:val="004028FE"/>
    <w:rsid w:val="004E357F"/>
    <w:rsid w:val="005A4245"/>
    <w:rsid w:val="0061323A"/>
    <w:rsid w:val="006240B9"/>
    <w:rsid w:val="00632642"/>
    <w:rsid w:val="00633600"/>
    <w:rsid w:val="00705856"/>
    <w:rsid w:val="0073711D"/>
    <w:rsid w:val="007A65C5"/>
    <w:rsid w:val="008629E3"/>
    <w:rsid w:val="008C2E10"/>
    <w:rsid w:val="008D6A27"/>
    <w:rsid w:val="00934DCD"/>
    <w:rsid w:val="00940F13"/>
    <w:rsid w:val="00974D8B"/>
    <w:rsid w:val="009976FD"/>
    <w:rsid w:val="009B78F6"/>
    <w:rsid w:val="00A130C6"/>
    <w:rsid w:val="00A15F26"/>
    <w:rsid w:val="00A2434C"/>
    <w:rsid w:val="00A26504"/>
    <w:rsid w:val="00A417E2"/>
    <w:rsid w:val="00A72441"/>
    <w:rsid w:val="00A75D2A"/>
    <w:rsid w:val="00A832EA"/>
    <w:rsid w:val="00A97BAB"/>
    <w:rsid w:val="00AD079F"/>
    <w:rsid w:val="00B1603C"/>
    <w:rsid w:val="00B61909"/>
    <w:rsid w:val="00B74BA0"/>
    <w:rsid w:val="00BB6824"/>
    <w:rsid w:val="00BF7625"/>
    <w:rsid w:val="00C73802"/>
    <w:rsid w:val="00C824B9"/>
    <w:rsid w:val="00CD402F"/>
    <w:rsid w:val="00D56872"/>
    <w:rsid w:val="00D7114E"/>
    <w:rsid w:val="00D75C87"/>
    <w:rsid w:val="00D81C0A"/>
    <w:rsid w:val="00DA2731"/>
    <w:rsid w:val="00E166CA"/>
    <w:rsid w:val="00E52468"/>
    <w:rsid w:val="00E9283F"/>
    <w:rsid w:val="00ED5DE6"/>
    <w:rsid w:val="00EE4BF6"/>
    <w:rsid w:val="00F36FA4"/>
    <w:rsid w:val="00FF78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9FBC8-B318-4C95-98B5-93DA70FB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B78F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11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83F"/>
    <w:pPr>
      <w:ind w:left="720"/>
      <w:contextualSpacing/>
    </w:pPr>
  </w:style>
  <w:style w:type="character" w:styleId="Hyperlink">
    <w:name w:val="Hyperlink"/>
    <w:basedOn w:val="DefaultParagraphFont"/>
    <w:uiPriority w:val="99"/>
    <w:unhideWhenUsed/>
    <w:rsid w:val="001E3F07"/>
    <w:rPr>
      <w:color w:val="0000FF" w:themeColor="hyperlink"/>
      <w:u w:val="single"/>
    </w:rPr>
  </w:style>
  <w:style w:type="character" w:customStyle="1" w:styleId="Heading1Char">
    <w:name w:val="Heading 1 Char"/>
    <w:basedOn w:val="DefaultParagraphFont"/>
    <w:link w:val="Heading1"/>
    <w:uiPriority w:val="9"/>
    <w:rsid w:val="009B78F6"/>
    <w:rPr>
      <w:rFonts w:ascii="Times New Roman" w:eastAsia="Times New Roman" w:hAnsi="Times New Roman" w:cs="Times New Roman"/>
      <w:b/>
      <w:bCs/>
      <w:kern w:val="36"/>
      <w:sz w:val="48"/>
      <w:szCs w:val="48"/>
    </w:rPr>
  </w:style>
  <w:style w:type="paragraph" w:customStyle="1" w:styleId="Title1">
    <w:name w:val="Title1"/>
    <w:basedOn w:val="Normal"/>
    <w:rsid w:val="009B78F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9B78F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9B78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9B78F6"/>
  </w:style>
  <w:style w:type="character" w:customStyle="1" w:styleId="Heading3Char">
    <w:name w:val="Heading 3 Char"/>
    <w:basedOn w:val="DefaultParagraphFont"/>
    <w:link w:val="Heading3"/>
    <w:uiPriority w:val="9"/>
    <w:semiHidden/>
    <w:rsid w:val="00D7114E"/>
    <w:rPr>
      <w:rFonts w:asciiTheme="majorHAnsi" w:eastAsiaTheme="majorEastAsia" w:hAnsiTheme="majorHAnsi" w:cstheme="majorBidi"/>
      <w:b/>
      <w:bCs/>
      <w:color w:val="4F81BD" w:themeColor="accent1"/>
    </w:rPr>
  </w:style>
  <w:style w:type="table" w:styleId="TableGrid">
    <w:name w:val="Table Grid"/>
    <w:basedOn w:val="TableNormal"/>
    <w:uiPriority w:val="59"/>
    <w:rsid w:val="00A75D2A"/>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B9"/>
    <w:rPr>
      <w:rFonts w:ascii="Tahoma" w:hAnsi="Tahoma" w:cs="Tahoma"/>
      <w:sz w:val="16"/>
      <w:szCs w:val="16"/>
    </w:rPr>
  </w:style>
  <w:style w:type="character" w:customStyle="1" w:styleId="element-citation">
    <w:name w:val="element-citation"/>
    <w:basedOn w:val="DefaultParagraphFont"/>
    <w:rsid w:val="00E166CA"/>
  </w:style>
  <w:style w:type="character" w:customStyle="1" w:styleId="ref-journal">
    <w:name w:val="ref-journal"/>
    <w:basedOn w:val="DefaultParagraphFont"/>
    <w:rsid w:val="00E166CA"/>
  </w:style>
  <w:style w:type="character" w:customStyle="1" w:styleId="ref-vol">
    <w:name w:val="ref-vol"/>
    <w:basedOn w:val="DefaultParagraphFont"/>
    <w:rsid w:val="00E166CA"/>
  </w:style>
  <w:style w:type="character" w:customStyle="1" w:styleId="nowrap">
    <w:name w:val="nowrap"/>
    <w:basedOn w:val="DefaultParagraphFont"/>
    <w:rsid w:val="00E166CA"/>
  </w:style>
  <w:style w:type="character" w:styleId="Emphasis">
    <w:name w:val="Emphasis"/>
    <w:basedOn w:val="DefaultParagraphFont"/>
    <w:uiPriority w:val="20"/>
    <w:qFormat/>
    <w:rsid w:val="008D6A27"/>
    <w:rPr>
      <w:i/>
      <w:iCs/>
    </w:rPr>
  </w:style>
  <w:style w:type="character" w:customStyle="1" w:styleId="highlight">
    <w:name w:val="highlight"/>
    <w:basedOn w:val="DefaultParagraphFont"/>
    <w:rsid w:val="008D6A27"/>
  </w:style>
  <w:style w:type="character" w:customStyle="1" w:styleId="tlid-translation">
    <w:name w:val="tlid-translation"/>
    <w:rsid w:val="003F45AD"/>
  </w:style>
  <w:style w:type="paragraph" w:styleId="Header">
    <w:name w:val="header"/>
    <w:basedOn w:val="Normal"/>
    <w:link w:val="HeaderChar"/>
    <w:uiPriority w:val="99"/>
    <w:unhideWhenUsed/>
    <w:rsid w:val="003F4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5AD"/>
  </w:style>
  <w:style w:type="paragraph" w:styleId="Footer">
    <w:name w:val="footer"/>
    <w:basedOn w:val="Normal"/>
    <w:link w:val="FooterChar"/>
    <w:uiPriority w:val="99"/>
    <w:unhideWhenUsed/>
    <w:rsid w:val="003F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910">
      <w:bodyDiv w:val="1"/>
      <w:marLeft w:val="0"/>
      <w:marRight w:val="0"/>
      <w:marTop w:val="0"/>
      <w:marBottom w:val="0"/>
      <w:divBdr>
        <w:top w:val="none" w:sz="0" w:space="0" w:color="auto"/>
        <w:left w:val="none" w:sz="0" w:space="0" w:color="auto"/>
        <w:bottom w:val="none" w:sz="0" w:space="0" w:color="auto"/>
        <w:right w:val="none" w:sz="0" w:space="0" w:color="auto"/>
      </w:divBdr>
    </w:div>
    <w:div w:id="186480135">
      <w:bodyDiv w:val="1"/>
      <w:marLeft w:val="0"/>
      <w:marRight w:val="0"/>
      <w:marTop w:val="0"/>
      <w:marBottom w:val="0"/>
      <w:divBdr>
        <w:top w:val="none" w:sz="0" w:space="0" w:color="auto"/>
        <w:left w:val="none" w:sz="0" w:space="0" w:color="auto"/>
        <w:bottom w:val="none" w:sz="0" w:space="0" w:color="auto"/>
        <w:right w:val="none" w:sz="0" w:space="0" w:color="auto"/>
      </w:divBdr>
    </w:div>
    <w:div w:id="203980611">
      <w:bodyDiv w:val="1"/>
      <w:marLeft w:val="0"/>
      <w:marRight w:val="0"/>
      <w:marTop w:val="0"/>
      <w:marBottom w:val="0"/>
      <w:divBdr>
        <w:top w:val="none" w:sz="0" w:space="0" w:color="auto"/>
        <w:left w:val="none" w:sz="0" w:space="0" w:color="auto"/>
        <w:bottom w:val="none" w:sz="0" w:space="0" w:color="auto"/>
        <w:right w:val="none" w:sz="0" w:space="0" w:color="auto"/>
      </w:divBdr>
    </w:div>
    <w:div w:id="313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1797890">
          <w:marLeft w:val="0"/>
          <w:marRight w:val="0"/>
          <w:marTop w:val="34"/>
          <w:marBottom w:val="34"/>
          <w:divBdr>
            <w:top w:val="none" w:sz="0" w:space="0" w:color="auto"/>
            <w:left w:val="none" w:sz="0" w:space="0" w:color="auto"/>
            <w:bottom w:val="none" w:sz="0" w:space="0" w:color="auto"/>
            <w:right w:val="none" w:sz="0" w:space="0" w:color="auto"/>
          </w:divBdr>
        </w:div>
      </w:divsChild>
    </w:div>
    <w:div w:id="353463917">
      <w:bodyDiv w:val="1"/>
      <w:marLeft w:val="0"/>
      <w:marRight w:val="0"/>
      <w:marTop w:val="0"/>
      <w:marBottom w:val="0"/>
      <w:divBdr>
        <w:top w:val="none" w:sz="0" w:space="0" w:color="auto"/>
        <w:left w:val="none" w:sz="0" w:space="0" w:color="auto"/>
        <w:bottom w:val="none" w:sz="0" w:space="0" w:color="auto"/>
        <w:right w:val="none" w:sz="0" w:space="0" w:color="auto"/>
      </w:divBdr>
    </w:div>
    <w:div w:id="407309031">
      <w:bodyDiv w:val="1"/>
      <w:marLeft w:val="0"/>
      <w:marRight w:val="0"/>
      <w:marTop w:val="0"/>
      <w:marBottom w:val="0"/>
      <w:divBdr>
        <w:top w:val="none" w:sz="0" w:space="0" w:color="auto"/>
        <w:left w:val="none" w:sz="0" w:space="0" w:color="auto"/>
        <w:bottom w:val="none" w:sz="0" w:space="0" w:color="auto"/>
        <w:right w:val="none" w:sz="0" w:space="0" w:color="auto"/>
      </w:divBdr>
    </w:div>
    <w:div w:id="435448655">
      <w:bodyDiv w:val="1"/>
      <w:marLeft w:val="0"/>
      <w:marRight w:val="0"/>
      <w:marTop w:val="0"/>
      <w:marBottom w:val="0"/>
      <w:divBdr>
        <w:top w:val="none" w:sz="0" w:space="0" w:color="auto"/>
        <w:left w:val="none" w:sz="0" w:space="0" w:color="auto"/>
        <w:bottom w:val="none" w:sz="0" w:space="0" w:color="auto"/>
        <w:right w:val="none" w:sz="0" w:space="0" w:color="auto"/>
      </w:divBdr>
      <w:divsChild>
        <w:div w:id="1206674353">
          <w:marLeft w:val="0"/>
          <w:marRight w:val="0"/>
          <w:marTop w:val="34"/>
          <w:marBottom w:val="34"/>
          <w:divBdr>
            <w:top w:val="none" w:sz="0" w:space="0" w:color="auto"/>
            <w:left w:val="none" w:sz="0" w:space="0" w:color="auto"/>
            <w:bottom w:val="none" w:sz="0" w:space="0" w:color="auto"/>
            <w:right w:val="none" w:sz="0" w:space="0" w:color="auto"/>
          </w:divBdr>
        </w:div>
      </w:divsChild>
    </w:div>
    <w:div w:id="569731966">
      <w:bodyDiv w:val="1"/>
      <w:marLeft w:val="0"/>
      <w:marRight w:val="0"/>
      <w:marTop w:val="0"/>
      <w:marBottom w:val="0"/>
      <w:divBdr>
        <w:top w:val="none" w:sz="0" w:space="0" w:color="auto"/>
        <w:left w:val="none" w:sz="0" w:space="0" w:color="auto"/>
        <w:bottom w:val="none" w:sz="0" w:space="0" w:color="auto"/>
        <w:right w:val="none" w:sz="0" w:space="0" w:color="auto"/>
      </w:divBdr>
    </w:div>
    <w:div w:id="639768936">
      <w:bodyDiv w:val="1"/>
      <w:marLeft w:val="0"/>
      <w:marRight w:val="0"/>
      <w:marTop w:val="0"/>
      <w:marBottom w:val="0"/>
      <w:divBdr>
        <w:top w:val="none" w:sz="0" w:space="0" w:color="auto"/>
        <w:left w:val="none" w:sz="0" w:space="0" w:color="auto"/>
        <w:bottom w:val="none" w:sz="0" w:space="0" w:color="auto"/>
        <w:right w:val="none" w:sz="0" w:space="0" w:color="auto"/>
      </w:divBdr>
    </w:div>
    <w:div w:id="824275841">
      <w:bodyDiv w:val="1"/>
      <w:marLeft w:val="0"/>
      <w:marRight w:val="0"/>
      <w:marTop w:val="0"/>
      <w:marBottom w:val="0"/>
      <w:divBdr>
        <w:top w:val="none" w:sz="0" w:space="0" w:color="auto"/>
        <w:left w:val="none" w:sz="0" w:space="0" w:color="auto"/>
        <w:bottom w:val="none" w:sz="0" w:space="0" w:color="auto"/>
        <w:right w:val="none" w:sz="0" w:space="0" w:color="auto"/>
      </w:divBdr>
      <w:divsChild>
        <w:div w:id="353771233">
          <w:marLeft w:val="0"/>
          <w:marRight w:val="0"/>
          <w:marTop w:val="34"/>
          <w:marBottom w:val="34"/>
          <w:divBdr>
            <w:top w:val="none" w:sz="0" w:space="0" w:color="auto"/>
            <w:left w:val="none" w:sz="0" w:space="0" w:color="auto"/>
            <w:bottom w:val="none" w:sz="0" w:space="0" w:color="auto"/>
            <w:right w:val="none" w:sz="0" w:space="0" w:color="auto"/>
          </w:divBdr>
        </w:div>
      </w:divsChild>
    </w:div>
    <w:div w:id="886332961">
      <w:bodyDiv w:val="1"/>
      <w:marLeft w:val="0"/>
      <w:marRight w:val="0"/>
      <w:marTop w:val="0"/>
      <w:marBottom w:val="0"/>
      <w:divBdr>
        <w:top w:val="none" w:sz="0" w:space="0" w:color="auto"/>
        <w:left w:val="none" w:sz="0" w:space="0" w:color="auto"/>
        <w:bottom w:val="none" w:sz="0" w:space="0" w:color="auto"/>
        <w:right w:val="none" w:sz="0" w:space="0" w:color="auto"/>
      </w:divBdr>
    </w:div>
    <w:div w:id="908730145">
      <w:bodyDiv w:val="1"/>
      <w:marLeft w:val="0"/>
      <w:marRight w:val="0"/>
      <w:marTop w:val="0"/>
      <w:marBottom w:val="0"/>
      <w:divBdr>
        <w:top w:val="none" w:sz="0" w:space="0" w:color="auto"/>
        <w:left w:val="none" w:sz="0" w:space="0" w:color="auto"/>
        <w:bottom w:val="none" w:sz="0" w:space="0" w:color="auto"/>
        <w:right w:val="none" w:sz="0" w:space="0" w:color="auto"/>
      </w:divBdr>
    </w:div>
    <w:div w:id="992831224">
      <w:bodyDiv w:val="1"/>
      <w:marLeft w:val="0"/>
      <w:marRight w:val="0"/>
      <w:marTop w:val="0"/>
      <w:marBottom w:val="0"/>
      <w:divBdr>
        <w:top w:val="none" w:sz="0" w:space="0" w:color="auto"/>
        <w:left w:val="none" w:sz="0" w:space="0" w:color="auto"/>
        <w:bottom w:val="none" w:sz="0" w:space="0" w:color="auto"/>
        <w:right w:val="none" w:sz="0" w:space="0" w:color="auto"/>
      </w:divBdr>
    </w:div>
    <w:div w:id="1109007168">
      <w:bodyDiv w:val="1"/>
      <w:marLeft w:val="0"/>
      <w:marRight w:val="0"/>
      <w:marTop w:val="0"/>
      <w:marBottom w:val="0"/>
      <w:divBdr>
        <w:top w:val="none" w:sz="0" w:space="0" w:color="auto"/>
        <w:left w:val="none" w:sz="0" w:space="0" w:color="auto"/>
        <w:bottom w:val="none" w:sz="0" w:space="0" w:color="auto"/>
        <w:right w:val="none" w:sz="0" w:space="0" w:color="auto"/>
      </w:divBdr>
    </w:div>
    <w:div w:id="1113481666">
      <w:bodyDiv w:val="1"/>
      <w:marLeft w:val="0"/>
      <w:marRight w:val="0"/>
      <w:marTop w:val="0"/>
      <w:marBottom w:val="0"/>
      <w:divBdr>
        <w:top w:val="none" w:sz="0" w:space="0" w:color="auto"/>
        <w:left w:val="none" w:sz="0" w:space="0" w:color="auto"/>
        <w:bottom w:val="none" w:sz="0" w:space="0" w:color="auto"/>
        <w:right w:val="none" w:sz="0" w:space="0" w:color="auto"/>
      </w:divBdr>
      <w:divsChild>
        <w:div w:id="143083840">
          <w:marLeft w:val="0"/>
          <w:marRight w:val="0"/>
          <w:marTop w:val="34"/>
          <w:marBottom w:val="34"/>
          <w:divBdr>
            <w:top w:val="none" w:sz="0" w:space="0" w:color="auto"/>
            <w:left w:val="none" w:sz="0" w:space="0" w:color="auto"/>
            <w:bottom w:val="none" w:sz="0" w:space="0" w:color="auto"/>
            <w:right w:val="none" w:sz="0" w:space="0" w:color="auto"/>
          </w:divBdr>
        </w:div>
      </w:divsChild>
    </w:div>
    <w:div w:id="1130978066">
      <w:bodyDiv w:val="1"/>
      <w:marLeft w:val="0"/>
      <w:marRight w:val="0"/>
      <w:marTop w:val="0"/>
      <w:marBottom w:val="0"/>
      <w:divBdr>
        <w:top w:val="none" w:sz="0" w:space="0" w:color="auto"/>
        <w:left w:val="none" w:sz="0" w:space="0" w:color="auto"/>
        <w:bottom w:val="none" w:sz="0" w:space="0" w:color="auto"/>
        <w:right w:val="none" w:sz="0" w:space="0" w:color="auto"/>
      </w:divBdr>
    </w:div>
    <w:div w:id="1230309318">
      <w:bodyDiv w:val="1"/>
      <w:marLeft w:val="0"/>
      <w:marRight w:val="0"/>
      <w:marTop w:val="0"/>
      <w:marBottom w:val="0"/>
      <w:divBdr>
        <w:top w:val="none" w:sz="0" w:space="0" w:color="auto"/>
        <w:left w:val="none" w:sz="0" w:space="0" w:color="auto"/>
        <w:bottom w:val="none" w:sz="0" w:space="0" w:color="auto"/>
        <w:right w:val="none" w:sz="0" w:space="0" w:color="auto"/>
      </w:divBdr>
      <w:divsChild>
        <w:div w:id="287668448">
          <w:marLeft w:val="0"/>
          <w:marRight w:val="0"/>
          <w:marTop w:val="34"/>
          <w:marBottom w:val="34"/>
          <w:divBdr>
            <w:top w:val="none" w:sz="0" w:space="0" w:color="auto"/>
            <w:left w:val="none" w:sz="0" w:space="0" w:color="auto"/>
            <w:bottom w:val="none" w:sz="0" w:space="0" w:color="auto"/>
            <w:right w:val="none" w:sz="0" w:space="0" w:color="auto"/>
          </w:divBdr>
        </w:div>
      </w:divsChild>
    </w:div>
    <w:div w:id="1256550984">
      <w:bodyDiv w:val="1"/>
      <w:marLeft w:val="0"/>
      <w:marRight w:val="0"/>
      <w:marTop w:val="0"/>
      <w:marBottom w:val="0"/>
      <w:divBdr>
        <w:top w:val="none" w:sz="0" w:space="0" w:color="auto"/>
        <w:left w:val="none" w:sz="0" w:space="0" w:color="auto"/>
        <w:bottom w:val="none" w:sz="0" w:space="0" w:color="auto"/>
        <w:right w:val="none" w:sz="0" w:space="0" w:color="auto"/>
      </w:divBdr>
    </w:div>
    <w:div w:id="1327856146">
      <w:bodyDiv w:val="1"/>
      <w:marLeft w:val="0"/>
      <w:marRight w:val="0"/>
      <w:marTop w:val="0"/>
      <w:marBottom w:val="0"/>
      <w:divBdr>
        <w:top w:val="none" w:sz="0" w:space="0" w:color="auto"/>
        <w:left w:val="none" w:sz="0" w:space="0" w:color="auto"/>
        <w:bottom w:val="none" w:sz="0" w:space="0" w:color="auto"/>
        <w:right w:val="none" w:sz="0" w:space="0" w:color="auto"/>
      </w:divBdr>
      <w:divsChild>
        <w:div w:id="1560483136">
          <w:marLeft w:val="0"/>
          <w:marRight w:val="0"/>
          <w:marTop w:val="34"/>
          <w:marBottom w:val="34"/>
          <w:divBdr>
            <w:top w:val="none" w:sz="0" w:space="0" w:color="auto"/>
            <w:left w:val="none" w:sz="0" w:space="0" w:color="auto"/>
            <w:bottom w:val="none" w:sz="0" w:space="0" w:color="auto"/>
            <w:right w:val="none" w:sz="0" w:space="0" w:color="auto"/>
          </w:divBdr>
        </w:div>
      </w:divsChild>
    </w:div>
    <w:div w:id="1348170348">
      <w:bodyDiv w:val="1"/>
      <w:marLeft w:val="0"/>
      <w:marRight w:val="0"/>
      <w:marTop w:val="0"/>
      <w:marBottom w:val="0"/>
      <w:divBdr>
        <w:top w:val="none" w:sz="0" w:space="0" w:color="auto"/>
        <w:left w:val="none" w:sz="0" w:space="0" w:color="auto"/>
        <w:bottom w:val="none" w:sz="0" w:space="0" w:color="auto"/>
        <w:right w:val="none" w:sz="0" w:space="0" w:color="auto"/>
      </w:divBdr>
    </w:div>
    <w:div w:id="1359742901">
      <w:bodyDiv w:val="1"/>
      <w:marLeft w:val="0"/>
      <w:marRight w:val="0"/>
      <w:marTop w:val="0"/>
      <w:marBottom w:val="0"/>
      <w:divBdr>
        <w:top w:val="none" w:sz="0" w:space="0" w:color="auto"/>
        <w:left w:val="none" w:sz="0" w:space="0" w:color="auto"/>
        <w:bottom w:val="none" w:sz="0" w:space="0" w:color="auto"/>
        <w:right w:val="none" w:sz="0" w:space="0" w:color="auto"/>
      </w:divBdr>
      <w:divsChild>
        <w:div w:id="1734964787">
          <w:marLeft w:val="0"/>
          <w:marRight w:val="0"/>
          <w:marTop w:val="166"/>
          <w:marBottom w:val="166"/>
          <w:divBdr>
            <w:top w:val="none" w:sz="0" w:space="0" w:color="auto"/>
            <w:left w:val="none" w:sz="0" w:space="0" w:color="auto"/>
            <w:bottom w:val="none" w:sz="0" w:space="0" w:color="auto"/>
            <w:right w:val="none" w:sz="0" w:space="0" w:color="auto"/>
          </w:divBdr>
        </w:div>
        <w:div w:id="944996186">
          <w:marLeft w:val="0"/>
          <w:marRight w:val="0"/>
          <w:marTop w:val="166"/>
          <w:marBottom w:val="166"/>
          <w:divBdr>
            <w:top w:val="none" w:sz="0" w:space="0" w:color="auto"/>
            <w:left w:val="none" w:sz="0" w:space="0" w:color="auto"/>
            <w:bottom w:val="none" w:sz="0" w:space="0" w:color="auto"/>
            <w:right w:val="none" w:sz="0" w:space="0" w:color="auto"/>
          </w:divBdr>
        </w:div>
      </w:divsChild>
    </w:div>
    <w:div w:id="1373534159">
      <w:bodyDiv w:val="1"/>
      <w:marLeft w:val="0"/>
      <w:marRight w:val="0"/>
      <w:marTop w:val="0"/>
      <w:marBottom w:val="0"/>
      <w:divBdr>
        <w:top w:val="none" w:sz="0" w:space="0" w:color="auto"/>
        <w:left w:val="none" w:sz="0" w:space="0" w:color="auto"/>
        <w:bottom w:val="none" w:sz="0" w:space="0" w:color="auto"/>
        <w:right w:val="none" w:sz="0" w:space="0" w:color="auto"/>
      </w:divBdr>
    </w:div>
    <w:div w:id="1392577314">
      <w:bodyDiv w:val="1"/>
      <w:marLeft w:val="0"/>
      <w:marRight w:val="0"/>
      <w:marTop w:val="0"/>
      <w:marBottom w:val="0"/>
      <w:divBdr>
        <w:top w:val="none" w:sz="0" w:space="0" w:color="auto"/>
        <w:left w:val="none" w:sz="0" w:space="0" w:color="auto"/>
        <w:bottom w:val="none" w:sz="0" w:space="0" w:color="auto"/>
        <w:right w:val="none" w:sz="0" w:space="0" w:color="auto"/>
      </w:divBdr>
    </w:div>
    <w:div w:id="1462262183">
      <w:bodyDiv w:val="1"/>
      <w:marLeft w:val="0"/>
      <w:marRight w:val="0"/>
      <w:marTop w:val="0"/>
      <w:marBottom w:val="0"/>
      <w:divBdr>
        <w:top w:val="none" w:sz="0" w:space="0" w:color="auto"/>
        <w:left w:val="none" w:sz="0" w:space="0" w:color="auto"/>
        <w:bottom w:val="none" w:sz="0" w:space="0" w:color="auto"/>
        <w:right w:val="none" w:sz="0" w:space="0" w:color="auto"/>
      </w:divBdr>
      <w:divsChild>
        <w:div w:id="1910921081">
          <w:marLeft w:val="0"/>
          <w:marRight w:val="0"/>
          <w:marTop w:val="34"/>
          <w:marBottom w:val="34"/>
          <w:divBdr>
            <w:top w:val="none" w:sz="0" w:space="0" w:color="auto"/>
            <w:left w:val="none" w:sz="0" w:space="0" w:color="auto"/>
            <w:bottom w:val="none" w:sz="0" w:space="0" w:color="auto"/>
            <w:right w:val="none" w:sz="0" w:space="0" w:color="auto"/>
          </w:divBdr>
        </w:div>
      </w:divsChild>
    </w:div>
    <w:div w:id="1608462418">
      <w:bodyDiv w:val="1"/>
      <w:marLeft w:val="0"/>
      <w:marRight w:val="0"/>
      <w:marTop w:val="0"/>
      <w:marBottom w:val="0"/>
      <w:divBdr>
        <w:top w:val="none" w:sz="0" w:space="0" w:color="auto"/>
        <w:left w:val="none" w:sz="0" w:space="0" w:color="auto"/>
        <w:bottom w:val="none" w:sz="0" w:space="0" w:color="auto"/>
        <w:right w:val="none" w:sz="0" w:space="0" w:color="auto"/>
      </w:divBdr>
    </w:div>
    <w:div w:id="1744524370">
      <w:bodyDiv w:val="1"/>
      <w:marLeft w:val="0"/>
      <w:marRight w:val="0"/>
      <w:marTop w:val="0"/>
      <w:marBottom w:val="0"/>
      <w:divBdr>
        <w:top w:val="none" w:sz="0" w:space="0" w:color="auto"/>
        <w:left w:val="none" w:sz="0" w:space="0" w:color="auto"/>
        <w:bottom w:val="none" w:sz="0" w:space="0" w:color="auto"/>
        <w:right w:val="none" w:sz="0" w:space="0" w:color="auto"/>
      </w:divBdr>
    </w:div>
    <w:div w:id="1745713200">
      <w:bodyDiv w:val="1"/>
      <w:marLeft w:val="0"/>
      <w:marRight w:val="0"/>
      <w:marTop w:val="0"/>
      <w:marBottom w:val="0"/>
      <w:divBdr>
        <w:top w:val="none" w:sz="0" w:space="0" w:color="auto"/>
        <w:left w:val="none" w:sz="0" w:space="0" w:color="auto"/>
        <w:bottom w:val="none" w:sz="0" w:space="0" w:color="auto"/>
        <w:right w:val="none" w:sz="0" w:space="0" w:color="auto"/>
      </w:divBdr>
    </w:div>
    <w:div w:id="1768845925">
      <w:bodyDiv w:val="1"/>
      <w:marLeft w:val="0"/>
      <w:marRight w:val="0"/>
      <w:marTop w:val="0"/>
      <w:marBottom w:val="0"/>
      <w:divBdr>
        <w:top w:val="none" w:sz="0" w:space="0" w:color="auto"/>
        <w:left w:val="none" w:sz="0" w:space="0" w:color="auto"/>
        <w:bottom w:val="none" w:sz="0" w:space="0" w:color="auto"/>
        <w:right w:val="none" w:sz="0" w:space="0" w:color="auto"/>
      </w:divBdr>
      <w:divsChild>
        <w:div w:id="1671372114">
          <w:marLeft w:val="0"/>
          <w:marRight w:val="0"/>
          <w:marTop w:val="34"/>
          <w:marBottom w:val="34"/>
          <w:divBdr>
            <w:top w:val="none" w:sz="0" w:space="0" w:color="auto"/>
            <w:left w:val="none" w:sz="0" w:space="0" w:color="auto"/>
            <w:bottom w:val="none" w:sz="0" w:space="0" w:color="auto"/>
            <w:right w:val="none" w:sz="0" w:space="0" w:color="auto"/>
          </w:divBdr>
        </w:div>
      </w:divsChild>
    </w:div>
    <w:div w:id="1770810477">
      <w:bodyDiv w:val="1"/>
      <w:marLeft w:val="0"/>
      <w:marRight w:val="0"/>
      <w:marTop w:val="0"/>
      <w:marBottom w:val="0"/>
      <w:divBdr>
        <w:top w:val="none" w:sz="0" w:space="0" w:color="auto"/>
        <w:left w:val="none" w:sz="0" w:space="0" w:color="auto"/>
        <w:bottom w:val="none" w:sz="0" w:space="0" w:color="auto"/>
        <w:right w:val="none" w:sz="0" w:space="0" w:color="auto"/>
      </w:divBdr>
    </w:div>
    <w:div w:id="1910576569">
      <w:bodyDiv w:val="1"/>
      <w:marLeft w:val="0"/>
      <w:marRight w:val="0"/>
      <w:marTop w:val="0"/>
      <w:marBottom w:val="0"/>
      <w:divBdr>
        <w:top w:val="none" w:sz="0" w:space="0" w:color="auto"/>
        <w:left w:val="none" w:sz="0" w:space="0" w:color="auto"/>
        <w:bottom w:val="none" w:sz="0" w:space="0" w:color="auto"/>
        <w:right w:val="none" w:sz="0" w:space="0" w:color="auto"/>
      </w:divBdr>
    </w:div>
    <w:div w:id="1982224836">
      <w:bodyDiv w:val="1"/>
      <w:marLeft w:val="0"/>
      <w:marRight w:val="0"/>
      <w:marTop w:val="0"/>
      <w:marBottom w:val="0"/>
      <w:divBdr>
        <w:top w:val="none" w:sz="0" w:space="0" w:color="auto"/>
        <w:left w:val="none" w:sz="0" w:space="0" w:color="auto"/>
        <w:bottom w:val="none" w:sz="0" w:space="0" w:color="auto"/>
        <w:right w:val="none" w:sz="0" w:space="0" w:color="auto"/>
      </w:divBdr>
      <w:divsChild>
        <w:div w:id="507670967">
          <w:marLeft w:val="0"/>
          <w:marRight w:val="0"/>
          <w:marTop w:val="166"/>
          <w:marBottom w:val="166"/>
          <w:divBdr>
            <w:top w:val="none" w:sz="0" w:space="0" w:color="auto"/>
            <w:left w:val="none" w:sz="0" w:space="0" w:color="auto"/>
            <w:bottom w:val="none" w:sz="0" w:space="0" w:color="auto"/>
            <w:right w:val="none" w:sz="0" w:space="0" w:color="auto"/>
          </w:divBdr>
        </w:div>
        <w:div w:id="881601132">
          <w:marLeft w:val="0"/>
          <w:marRight w:val="0"/>
          <w:marTop w:val="166"/>
          <w:marBottom w:val="166"/>
          <w:divBdr>
            <w:top w:val="none" w:sz="0" w:space="0" w:color="auto"/>
            <w:left w:val="none" w:sz="0" w:space="0" w:color="auto"/>
            <w:bottom w:val="none" w:sz="0" w:space="0" w:color="auto"/>
            <w:right w:val="none" w:sz="0" w:space="0" w:color="auto"/>
          </w:divBdr>
        </w:div>
      </w:divsChild>
    </w:div>
    <w:div w:id="21121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3758313" TargetMode="External"/><Relationship Id="rId18" Type="http://schemas.openxmlformats.org/officeDocument/2006/relationships/hyperlink" Target="https://www.ncbi.nlm.nih.gov/pubmed/?term=Jung%20HW%5BAuthor%5D&amp;cauthor=true&amp;cauthor_uid=28049242" TargetMode="External"/><Relationship Id="rId26" Type="http://schemas.openxmlformats.org/officeDocument/2006/relationships/hyperlink" Target="https://www.ncbi.nlm.nih.gov/pubmed/?term=Lee%20SY%5BAuthor%5D&amp;cauthor=true&amp;cauthor_uid=28049242" TargetMode="External"/><Relationship Id="rId39" Type="http://schemas.openxmlformats.org/officeDocument/2006/relationships/hyperlink" Target="https://www.ncbi.nlm.nih.gov/pubmed/8425665" TargetMode="External"/><Relationship Id="rId21" Type="http://schemas.openxmlformats.org/officeDocument/2006/relationships/hyperlink" Target="https://www.ncbi.nlm.nih.gov/pubmed/?term=Chung%20HR%5BAuthor%5D&amp;cauthor=true&amp;cauthor_uid=28049242" TargetMode="External"/><Relationship Id="rId34" Type="http://schemas.openxmlformats.org/officeDocument/2006/relationships/hyperlink" Target="https://www.ncbi.nlm.nih.gov/pubmed/?term=Pediatric%20Emergency%20Care%20Applied%20Research%20Network%20(PECARN)%20DKA%20FLUID%20Study%20Group%5BCorporate%20Author%5D" TargetMode="External"/><Relationship Id="rId42" Type="http://schemas.openxmlformats.org/officeDocument/2006/relationships/hyperlink" Target="https://www.ncbi.nlm.nih.gov/pubmed/?term=Al-Mufti%20F%5BAuthor%5D&amp;cauthor=true&amp;cauthor_uid=26992857" TargetMode="External"/><Relationship Id="rId47" Type="http://schemas.openxmlformats.org/officeDocument/2006/relationships/hyperlink" Target="https://www.ncbi.nlm.nih.gov/pubmed/?term=Kong%20X%5BAuthor%5D&amp;cauthor=true&amp;cauthor_uid=25526483" TargetMode="External"/><Relationship Id="rId50" Type="http://schemas.openxmlformats.org/officeDocument/2006/relationships/hyperlink" Target="https://www.ncbi.nlm.nih.gov/pubmed/?term=Luo%20S%5BAuthor%5D&amp;cauthor=true&amp;cauthor_uid=25526483" TargetMode="External"/><Relationship Id="rId55" Type="http://schemas.openxmlformats.org/officeDocument/2006/relationships/image" Target="media/image1.png"/><Relationship Id="rId7" Type="http://schemas.openxmlformats.org/officeDocument/2006/relationships/hyperlink" Target="https://www.ncbi.nlm.nih.gov/pubmed/?term=Szypowska%20A%5BAuthor%5D&amp;cauthor=true&amp;cauthor_uid=21129138" TargetMode="External"/><Relationship Id="rId12" Type="http://schemas.openxmlformats.org/officeDocument/2006/relationships/hyperlink" Target="https://www.ncbi.nlm.nih.gov/pubmed/?term=Phillip%20M%5BAuthor%5D&amp;cauthor=true&amp;cauthor_uid=23758313" TargetMode="External"/><Relationship Id="rId17" Type="http://schemas.openxmlformats.org/officeDocument/2006/relationships/hyperlink" Target="https://www.ncbi.nlm.nih.gov/pubmed/?term=Yu%20HW%5BAuthor%5D&amp;cauthor=true&amp;cauthor_uid=28049242" TargetMode="External"/><Relationship Id="rId25" Type="http://schemas.openxmlformats.org/officeDocument/2006/relationships/hyperlink" Target="https://www.ncbi.nlm.nih.gov/pubmed/?term=Yang%20SW%5BAuthor%5D&amp;cauthor=true&amp;cauthor_uid=28049242" TargetMode="External"/><Relationship Id="rId33" Type="http://schemas.openxmlformats.org/officeDocument/2006/relationships/hyperlink" Target="https://www.ncbi.nlm.nih.gov/pubmed/?term=Kuppermann%20N%5BAuthor%5D&amp;cauthor=true&amp;cauthor_uid=23490311" TargetMode="External"/><Relationship Id="rId38" Type="http://schemas.openxmlformats.org/officeDocument/2006/relationships/hyperlink" Target="https://www.ncbi.nlm.nih.gov/pubmed/?term=Developing+a+novel+risk-scoring+system+for+predicting+relapse+in+patients+with+ulcerative+colitis%3A+A+prospective+cohort+study" TargetMode="External"/><Relationship Id="rId46" Type="http://schemas.openxmlformats.org/officeDocument/2006/relationships/hyperlink" Target="https://www.ncbi.nlm.nih.gov/pubmed/?term=Global+cerebral+edema+from+hypercapnic+respiratory+acidosis+and+response+to+hyperosmolar+therapy" TargetMode="External"/><Relationship Id="rId2" Type="http://schemas.openxmlformats.org/officeDocument/2006/relationships/settings" Target="settings.xml"/><Relationship Id="rId16" Type="http://schemas.openxmlformats.org/officeDocument/2006/relationships/hyperlink" Target="https://www.ncbi.nlm.nih.gov/pubmed/?term=Lee%20HJ%5BAuthor%5D&amp;cauthor=true&amp;cauthor_uid=28049242" TargetMode="External"/><Relationship Id="rId20" Type="http://schemas.openxmlformats.org/officeDocument/2006/relationships/hyperlink" Target="https://www.ncbi.nlm.nih.gov/pubmed/?term=Kim%20JH%5BAuthor%5D&amp;cauthor=true&amp;cauthor_uid=28049242" TargetMode="External"/><Relationship Id="rId29" Type="http://schemas.openxmlformats.org/officeDocument/2006/relationships/hyperlink" Target="https://www.ncbi.nlm.nih.gov/pubmed/29431304" TargetMode="External"/><Relationship Id="rId41" Type="http://schemas.openxmlformats.org/officeDocument/2006/relationships/hyperlink" Target="https://www.ncbi.nlm.nih.gov/pubmed/?term=Roh%20D%5BAuthor%5D&amp;cauthor=true&amp;cauthor_uid=26992857" TargetMode="External"/><Relationship Id="rId54" Type="http://schemas.openxmlformats.org/officeDocument/2006/relationships/hyperlink" Target="https://www.ncbi.nlm.nih.gov/pubmed/?term=Diffuse+Interstitial+Brain+Edema+in+Patients+With+End-Stage+Renal+Disease+Undergoing+Hemodialysis%3A+A+Tract-Based+Spatial+Statistics+Study" TargetMode="External"/><Relationship Id="rId1" Type="http://schemas.openxmlformats.org/officeDocument/2006/relationships/styles" Target="styles.xml"/><Relationship Id="rId6" Type="http://schemas.openxmlformats.org/officeDocument/2006/relationships/hyperlink" Target="mailto:nazaninsarejloo@gmail.com" TargetMode="External"/><Relationship Id="rId11" Type="http://schemas.openxmlformats.org/officeDocument/2006/relationships/hyperlink" Target="https://www.ncbi.nlm.nih.gov/pubmed/?term=Lazar%20L%5BAuthor%5D&amp;cauthor=true&amp;cauthor_uid=23758313" TargetMode="External"/><Relationship Id="rId24" Type="http://schemas.openxmlformats.org/officeDocument/2006/relationships/hyperlink" Target="https://www.ncbi.nlm.nih.gov/pubmed/?term=Shin%20CH%5BAuthor%5D&amp;cauthor=true&amp;cauthor_uid=28049242" TargetMode="External"/><Relationship Id="rId32" Type="http://schemas.openxmlformats.org/officeDocument/2006/relationships/hyperlink" Target="https://www.ncbi.nlm.nih.gov/pubmed/?term=Dean%20JM%5BAuthor%5D&amp;cauthor=true&amp;cauthor_uid=23490311" TargetMode="External"/><Relationship Id="rId37" Type="http://schemas.openxmlformats.org/officeDocument/2006/relationships/hyperlink" Target="https://www.ncbi.nlm.nih.gov/pubmed/?term=Safarpour%20AR%5BAuthor%5D&amp;cauthor=true&amp;cauthor_uid=26870126" TargetMode="External"/><Relationship Id="rId40" Type="http://schemas.openxmlformats.org/officeDocument/2006/relationships/hyperlink" Target="https://www.ncbi.nlm.nih.gov/pubmed/18446108" TargetMode="External"/><Relationship Id="rId45" Type="http://schemas.openxmlformats.org/officeDocument/2006/relationships/hyperlink" Target="https://www.ncbi.nlm.nih.gov/pubmed/?term=Park%20S%5BAuthor%5D&amp;cauthor=true&amp;cauthor_uid=26992857" TargetMode="External"/><Relationship Id="rId53" Type="http://schemas.openxmlformats.org/officeDocument/2006/relationships/hyperlink" Target="https://www.ncbi.nlm.nih.gov/pubmed/?term=Zhang%20LJ%5BAuthor%5D&amp;cauthor=true&amp;cauthor_uid=25526483"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cbi.nlm.nih.gov/pubmed/28135278" TargetMode="External"/><Relationship Id="rId23" Type="http://schemas.openxmlformats.org/officeDocument/2006/relationships/hyperlink" Target="https://www.ncbi.nlm.nih.gov/pubmed/?term=Yu%20J%5BAuthor%5D&amp;cauthor=true&amp;cauthor_uid=28049242" TargetMode="External"/><Relationship Id="rId28" Type="http://schemas.openxmlformats.org/officeDocument/2006/relationships/hyperlink" Target="https://www.ncbi.nlm.nih.gov/pubmed/25512799" TargetMode="External"/><Relationship Id="rId36" Type="http://schemas.openxmlformats.org/officeDocument/2006/relationships/hyperlink" Target="https://www.ncbi.nlm.nih.gov/pubmed/?term=Hosseini%20SV%5BAuthor%5D&amp;cauthor=true&amp;cauthor_uid=26870126" TargetMode="External"/><Relationship Id="rId49" Type="http://schemas.openxmlformats.org/officeDocument/2006/relationships/hyperlink" Target="https://www.ncbi.nlm.nih.gov/pubmed/?term=Qi%20RF%5BAuthor%5D&amp;cauthor=true&amp;cauthor_uid=25526483" TargetMode="External"/><Relationship Id="rId57" Type="http://schemas.openxmlformats.org/officeDocument/2006/relationships/fontTable" Target="fontTable.xml"/><Relationship Id="rId10" Type="http://schemas.openxmlformats.org/officeDocument/2006/relationships/hyperlink" Target="https://www.ncbi.nlm.nih.gov/pubmed/?term=Oren%20L%5BAuthor%5D&amp;cauthor=true&amp;cauthor_uid=23758313" TargetMode="External"/><Relationship Id="rId19" Type="http://schemas.openxmlformats.org/officeDocument/2006/relationships/hyperlink" Target="https://www.ncbi.nlm.nih.gov/pubmed/?term=Lee%20YA%5BAuthor%5D&amp;cauthor=true&amp;cauthor_uid=28049242" TargetMode="External"/><Relationship Id="rId31" Type="http://schemas.openxmlformats.org/officeDocument/2006/relationships/hyperlink" Target="https://www.ncbi.nlm.nih.gov/pubmed/?term=Casper%20TC%5BAuthor%5D&amp;cauthor=true&amp;cauthor_uid=23490311" TargetMode="External"/><Relationship Id="rId44" Type="http://schemas.openxmlformats.org/officeDocument/2006/relationships/hyperlink" Target="https://www.ncbi.nlm.nih.gov/pubmed/?term=Agarwal%20S%5BAuthor%5D&amp;cauthor=true&amp;cauthor_uid=26992857" TargetMode="External"/><Relationship Id="rId52" Type="http://schemas.openxmlformats.org/officeDocument/2006/relationships/hyperlink" Target="https://www.ncbi.nlm.nih.gov/pubmed/?term=Lu%20GM%5BAuthor%5D&amp;cauthor=true&amp;cauthor_uid=25526483" TargetMode="External"/><Relationship Id="rId4" Type="http://schemas.openxmlformats.org/officeDocument/2006/relationships/footnotes" Target="footnotes.xml"/><Relationship Id="rId9" Type="http://schemas.openxmlformats.org/officeDocument/2006/relationships/hyperlink" Target="https://www.ncbi.nlm.nih.gov/pubmed/?term=de%20Vries%20L%5BAuthor%5D&amp;cauthor=true&amp;cauthor_uid=23758313" TargetMode="External"/><Relationship Id="rId14" Type="http://schemas.openxmlformats.org/officeDocument/2006/relationships/hyperlink" Target="https://www.ncbi.nlm.nih.gov/pubmed/?term=Atkilt%20HS%5BAuthor%5D&amp;cauthor=true&amp;cauthor_uid=28135278" TargetMode="External"/><Relationship Id="rId22" Type="http://schemas.openxmlformats.org/officeDocument/2006/relationships/hyperlink" Target="https://www.ncbi.nlm.nih.gov/pubmed/?term=Kim%20E%5BAuthor%5D&amp;cauthor=true&amp;cauthor_uid=28049242" TargetMode="External"/><Relationship Id="rId27" Type="http://schemas.openxmlformats.org/officeDocument/2006/relationships/hyperlink" Target="https://www.ncbi.nlm.nih.gov/pubmed/28049242" TargetMode="External"/><Relationship Id="rId30" Type="http://schemas.openxmlformats.org/officeDocument/2006/relationships/hyperlink" Target="https://www.ncbi.nlm.nih.gov/pubmed/?term=Glaser%20NS%5BAuthor%5D&amp;cauthor=true&amp;cauthor_uid=23490311" TargetMode="External"/><Relationship Id="rId35" Type="http://schemas.openxmlformats.org/officeDocument/2006/relationships/hyperlink" Target="https://www.ncbi.nlm.nih.gov/pubmed/23490311" TargetMode="External"/><Relationship Id="rId43" Type="http://schemas.openxmlformats.org/officeDocument/2006/relationships/hyperlink" Target="https://www.ncbi.nlm.nih.gov/pubmed/?term=Morris%20N%5BAuthor%5D&amp;cauthor=true&amp;cauthor_uid=26992857" TargetMode="External"/><Relationship Id="rId48" Type="http://schemas.openxmlformats.org/officeDocument/2006/relationships/hyperlink" Target="https://www.ncbi.nlm.nih.gov/pubmed/?term=Wen%20JQ%5BAuthor%5D&amp;cauthor=true&amp;cauthor_uid=25526483" TargetMode="External"/><Relationship Id="rId56" Type="http://schemas.openxmlformats.org/officeDocument/2006/relationships/footer" Target="footer1.xml"/><Relationship Id="rId8" Type="http://schemas.openxmlformats.org/officeDocument/2006/relationships/hyperlink" Target="https://www.ncbi.nlm.nih.gov/pubmed/?term=Szypowska%20A%5BAuthor%5D&amp;cauthor=true&amp;cauthor_uid=21129138" TargetMode="External"/><Relationship Id="rId51" Type="http://schemas.openxmlformats.org/officeDocument/2006/relationships/hyperlink" Target="https://www.ncbi.nlm.nih.gov/pubmed/?term=Chen%20HJ%5BAuthor%5D&amp;cauthor=true&amp;cauthor_uid=2552648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dc:creator>
  <cp:lastModifiedBy>azar</cp:lastModifiedBy>
  <cp:revision>39</cp:revision>
  <dcterms:created xsi:type="dcterms:W3CDTF">2018-09-12T10:08:00Z</dcterms:created>
  <dcterms:modified xsi:type="dcterms:W3CDTF">2019-01-21T06:03:00Z</dcterms:modified>
</cp:coreProperties>
</file>