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5E2" w:rsidRPr="00602200" w:rsidRDefault="003B574B" w:rsidP="003B574B">
      <w:pPr>
        <w:jc w:val="center"/>
        <w:rPr>
          <w:rFonts w:asciiTheme="majorBidi" w:hAnsiTheme="majorBidi" w:cstheme="majorBidi"/>
          <w:b/>
          <w:bCs/>
          <w:sz w:val="32"/>
          <w:szCs w:val="32"/>
        </w:rPr>
      </w:pPr>
      <w:r w:rsidRPr="00602200">
        <w:rPr>
          <w:rFonts w:asciiTheme="majorBidi" w:hAnsiTheme="majorBidi" w:cstheme="majorBidi"/>
          <w:b/>
          <w:bCs/>
          <w:sz w:val="32"/>
          <w:szCs w:val="32"/>
        </w:rPr>
        <w:t>In the name of GOD</w:t>
      </w:r>
    </w:p>
    <w:p w:rsidR="00E02241" w:rsidRPr="00602200" w:rsidRDefault="007239B5" w:rsidP="007239B5">
      <w:pPr>
        <w:rPr>
          <w:b/>
          <w:bCs/>
          <w:sz w:val="40"/>
          <w:szCs w:val="40"/>
        </w:rPr>
      </w:pPr>
      <w:r>
        <w:rPr>
          <w:rFonts w:asciiTheme="majorBidi" w:hAnsiTheme="majorBidi" w:cstheme="majorBidi"/>
          <w:b/>
          <w:bCs/>
          <w:sz w:val="28"/>
          <w:szCs w:val="28"/>
        </w:rPr>
        <w:t xml:space="preserve"> IVIG </w:t>
      </w:r>
      <w:r>
        <w:rPr>
          <w:rFonts w:asciiTheme="majorBidi" w:hAnsiTheme="majorBidi" w:cstheme="majorBidi"/>
          <w:b/>
          <w:bCs/>
          <w:sz w:val="28"/>
          <w:szCs w:val="28"/>
        </w:rPr>
        <w:t xml:space="preserve">Anaphylaxis </w:t>
      </w:r>
      <w:r>
        <w:rPr>
          <w:rFonts w:asciiTheme="majorBidi" w:hAnsiTheme="majorBidi" w:cstheme="majorBidi"/>
          <w:b/>
          <w:bCs/>
          <w:sz w:val="28"/>
          <w:szCs w:val="28"/>
        </w:rPr>
        <w:t xml:space="preserve">in a patient with </w:t>
      </w:r>
      <w:r w:rsidR="00E02241" w:rsidRPr="00602200">
        <w:rPr>
          <w:rFonts w:asciiTheme="majorBidi" w:hAnsiTheme="majorBidi" w:cstheme="majorBidi"/>
          <w:b/>
          <w:bCs/>
          <w:sz w:val="28"/>
          <w:szCs w:val="28"/>
        </w:rPr>
        <w:t>Common variable immune deficien</w:t>
      </w:r>
      <w:r w:rsidR="00760E10">
        <w:rPr>
          <w:rFonts w:asciiTheme="majorBidi" w:hAnsiTheme="majorBidi" w:cstheme="majorBidi"/>
          <w:b/>
          <w:bCs/>
          <w:sz w:val="28"/>
          <w:szCs w:val="28"/>
        </w:rPr>
        <w:t>cy disease (CVID).</w:t>
      </w:r>
      <w:r w:rsidR="00E02241" w:rsidRPr="00602200">
        <w:rPr>
          <w:rFonts w:asciiTheme="majorBidi" w:hAnsiTheme="majorBidi" w:cstheme="majorBidi"/>
          <w:b/>
          <w:bCs/>
          <w:sz w:val="28"/>
          <w:szCs w:val="28"/>
        </w:rPr>
        <w:t xml:space="preserve"> </w:t>
      </w:r>
    </w:p>
    <w:p w:rsidR="003B574B" w:rsidRDefault="0035287B" w:rsidP="007239B5">
      <w:pPr>
        <w:rPr>
          <w:rFonts w:asciiTheme="majorBidi" w:hAnsiTheme="majorBidi" w:cstheme="majorBidi"/>
        </w:rPr>
      </w:pPr>
      <w:r>
        <w:rPr>
          <w:rFonts w:asciiTheme="majorBidi" w:hAnsiTheme="majorBidi" w:cstheme="majorBidi"/>
        </w:rPr>
        <w:t>Ahmad Bahrami</w:t>
      </w:r>
      <w:r w:rsidR="007239B5">
        <w:rPr>
          <w:rFonts w:asciiTheme="majorBidi" w:hAnsiTheme="majorBidi" w:cstheme="majorBidi"/>
          <w:vertAlign w:val="superscript"/>
        </w:rPr>
        <w:t>1</w:t>
      </w:r>
      <w:r w:rsidR="007239B5">
        <w:rPr>
          <w:rFonts w:asciiTheme="majorBidi" w:hAnsiTheme="majorBidi" w:cstheme="majorBidi"/>
        </w:rPr>
        <w:t>,</w:t>
      </w:r>
      <w:r>
        <w:rPr>
          <w:rFonts w:asciiTheme="majorBidi" w:hAnsiTheme="majorBidi" w:cstheme="majorBidi"/>
        </w:rPr>
        <w:t xml:space="preserve"> Maryam Vafapour</w:t>
      </w:r>
      <w:r w:rsidR="007239B5">
        <w:rPr>
          <w:rFonts w:asciiTheme="majorBidi" w:hAnsiTheme="majorBidi" w:cstheme="majorBidi"/>
          <w:vertAlign w:val="superscript"/>
        </w:rPr>
        <w:t>1</w:t>
      </w:r>
      <w:r>
        <w:rPr>
          <w:rFonts w:asciiTheme="majorBidi" w:hAnsiTheme="majorBidi" w:cstheme="majorBidi"/>
        </w:rPr>
        <w:t>*</w:t>
      </w:r>
    </w:p>
    <w:p w:rsidR="007239B5" w:rsidRDefault="007239B5" w:rsidP="007239B5">
      <w:pPr>
        <w:rPr>
          <w:rFonts w:asciiTheme="majorBidi" w:hAnsiTheme="majorBidi" w:cstheme="majorBidi"/>
        </w:rPr>
      </w:pPr>
    </w:p>
    <w:p w:rsidR="007239B5" w:rsidRDefault="007239B5" w:rsidP="007239B5">
      <w:pPr>
        <w:shd w:val="clear" w:color="auto" w:fill="FFFFFF"/>
        <w:spacing w:before="270" w:after="0" w:line="267" w:lineRule="atLeast"/>
        <w:outlineLvl w:val="1"/>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1 Department of </w:t>
      </w:r>
      <w:r w:rsidRPr="00A075BD">
        <w:rPr>
          <w:rFonts w:asciiTheme="majorBidi" w:eastAsia="Times New Roman" w:hAnsiTheme="majorBidi" w:cstheme="majorBidi"/>
          <w:sz w:val="24"/>
          <w:szCs w:val="24"/>
        </w:rPr>
        <w:t xml:space="preserve">Allergy </w:t>
      </w:r>
      <w:r>
        <w:rPr>
          <w:rFonts w:asciiTheme="majorBidi" w:eastAsia="Times New Roman" w:hAnsiTheme="majorBidi" w:cstheme="majorBidi"/>
          <w:sz w:val="24"/>
          <w:szCs w:val="24"/>
        </w:rPr>
        <w:t>&amp;</w:t>
      </w:r>
      <w:r w:rsidRPr="00A075BD">
        <w:rPr>
          <w:rFonts w:asciiTheme="majorBidi" w:eastAsia="Times New Roman" w:hAnsiTheme="majorBidi" w:cstheme="majorBidi"/>
          <w:sz w:val="24"/>
          <w:szCs w:val="24"/>
        </w:rPr>
        <w:t xml:space="preserve"> Immunology, Ali Asghar Children’s Hospital, Faculty of Medicine, Iran University of Medical Sciences, Tehran, Iran.</w:t>
      </w:r>
    </w:p>
    <w:p w:rsidR="007239B5" w:rsidRDefault="007239B5" w:rsidP="007239B5">
      <w:pPr>
        <w:rPr>
          <w:rFonts w:asciiTheme="majorBidi" w:hAnsiTheme="majorBidi" w:cstheme="majorBidi"/>
        </w:rPr>
      </w:pPr>
    </w:p>
    <w:p w:rsidR="007239B5" w:rsidRPr="00A53984" w:rsidRDefault="007239B5" w:rsidP="007239B5">
      <w:pPr>
        <w:rPr>
          <w:rFonts w:asciiTheme="majorBidi" w:hAnsiTheme="majorBidi" w:cstheme="majorBidi"/>
          <w:b/>
          <w:bCs/>
          <w:sz w:val="24"/>
          <w:szCs w:val="24"/>
        </w:rPr>
      </w:pPr>
      <w:r w:rsidRPr="00A53984">
        <w:rPr>
          <w:rFonts w:asciiTheme="majorBidi" w:hAnsiTheme="majorBidi" w:cstheme="majorBidi"/>
          <w:b/>
          <w:bCs/>
          <w:sz w:val="24"/>
          <w:szCs w:val="24"/>
        </w:rPr>
        <w:t>Corresponding Author:</w:t>
      </w:r>
    </w:p>
    <w:p w:rsidR="007239B5" w:rsidRDefault="007239B5" w:rsidP="007239B5">
      <w:pPr>
        <w:rPr>
          <w:rFonts w:asciiTheme="majorBidi" w:hAnsiTheme="majorBidi" w:cstheme="majorBidi"/>
          <w:b/>
          <w:bCs/>
          <w:sz w:val="24"/>
          <w:szCs w:val="24"/>
        </w:rPr>
      </w:pPr>
      <w:r w:rsidRPr="00A53984">
        <w:rPr>
          <w:rFonts w:ascii="Times New Roman" w:hAnsi="Times New Roman" w:cs="Times New Roman"/>
          <w:sz w:val="24"/>
          <w:szCs w:val="24"/>
        </w:rPr>
        <w:t xml:space="preserve">Ahmad </w:t>
      </w:r>
      <w:proofErr w:type="spellStart"/>
      <w:r w:rsidRPr="00A53984">
        <w:rPr>
          <w:rFonts w:ascii="Times New Roman" w:hAnsi="Times New Roman" w:cs="Times New Roman"/>
          <w:sz w:val="24"/>
          <w:szCs w:val="24"/>
        </w:rPr>
        <w:t>bahrami</w:t>
      </w:r>
      <w:proofErr w:type="spellEnd"/>
      <w:r w:rsidRPr="00A53984">
        <w:rPr>
          <w:rFonts w:ascii="Times New Roman" w:hAnsi="Times New Roman" w:cs="Times New Roman"/>
          <w:sz w:val="24"/>
          <w:szCs w:val="24"/>
        </w:rPr>
        <w:t>,</w:t>
      </w:r>
      <w:r w:rsidRPr="00A53984">
        <w:rPr>
          <w:rFonts w:asciiTheme="majorBidi" w:eastAsia="Times New Roman" w:hAnsiTheme="majorBidi" w:cstheme="majorBidi"/>
          <w:sz w:val="24"/>
          <w:szCs w:val="24"/>
        </w:rPr>
        <w:t xml:space="preserve"> Department of Allergy &amp; Immunology, Ali Asghar Children’s Hospital, Faculty of Medicine, Iran University of Medical Sciences, Tehran, Iran.</w:t>
      </w:r>
      <w:r w:rsidRPr="00A53984">
        <w:rPr>
          <w:rFonts w:ascii="Times New Roman" w:hAnsi="Times New Roman" w:cs="Times New Roman"/>
          <w:sz w:val="24"/>
          <w:szCs w:val="24"/>
        </w:rPr>
        <w:t xml:space="preserve"> Email: </w:t>
      </w:r>
      <w:hyperlink r:id="rId4" w:history="1">
        <w:r w:rsidRPr="00C772C0">
          <w:rPr>
            <w:rStyle w:val="Hyperlink"/>
            <w:rFonts w:asciiTheme="majorBidi" w:hAnsiTheme="majorBidi" w:cstheme="majorBidi"/>
            <w:sz w:val="24"/>
            <w:szCs w:val="24"/>
          </w:rPr>
          <w:t>vafapourm@gmail.com</w:t>
        </w:r>
      </w:hyperlink>
    </w:p>
    <w:p w:rsidR="007239B5" w:rsidRDefault="007239B5" w:rsidP="007239B5">
      <w:pPr>
        <w:rPr>
          <w:rFonts w:asciiTheme="majorBidi" w:hAnsiTheme="majorBidi" w:cstheme="majorBidi"/>
          <w:b/>
          <w:bCs/>
          <w:sz w:val="24"/>
          <w:szCs w:val="24"/>
        </w:rPr>
      </w:pPr>
      <w:bookmarkStart w:id="0" w:name="_GoBack"/>
      <w:bookmarkEnd w:id="0"/>
      <w:r w:rsidRPr="007239B5">
        <w:rPr>
          <w:rFonts w:asciiTheme="majorBidi" w:hAnsiTheme="majorBidi" w:cstheme="majorBidi"/>
          <w:b/>
          <w:bCs/>
          <w:sz w:val="24"/>
          <w:szCs w:val="24"/>
        </w:rPr>
        <w:t xml:space="preserve"> </w:t>
      </w:r>
      <w:r>
        <w:rPr>
          <w:rFonts w:asciiTheme="majorBidi" w:hAnsiTheme="majorBidi" w:cstheme="majorBidi"/>
          <w:b/>
          <w:bCs/>
          <w:sz w:val="24"/>
          <w:szCs w:val="24"/>
        </w:rPr>
        <w:br w:type="page"/>
      </w:r>
    </w:p>
    <w:p w:rsidR="003B574B" w:rsidRDefault="0035287B" w:rsidP="000610FD">
      <w:pPr>
        <w:rPr>
          <w:rFonts w:asciiTheme="majorBidi" w:hAnsiTheme="majorBidi" w:cstheme="majorBidi"/>
          <w:b/>
          <w:bCs/>
          <w:sz w:val="24"/>
          <w:szCs w:val="24"/>
        </w:rPr>
      </w:pPr>
      <w:r w:rsidRPr="00EC14F5">
        <w:rPr>
          <w:rFonts w:asciiTheme="majorBidi" w:hAnsiTheme="majorBidi" w:cstheme="majorBidi"/>
          <w:b/>
          <w:bCs/>
          <w:sz w:val="24"/>
          <w:szCs w:val="24"/>
        </w:rPr>
        <w:lastRenderedPageBreak/>
        <w:t>Abstract:</w:t>
      </w:r>
    </w:p>
    <w:p w:rsidR="00D0342E" w:rsidRPr="006D7536" w:rsidRDefault="00C44211" w:rsidP="007239B5">
      <w:pPr>
        <w:rPr>
          <w:rFonts w:asciiTheme="majorBidi" w:hAnsiTheme="majorBidi" w:cstheme="majorBidi"/>
        </w:rPr>
      </w:pPr>
      <w:r w:rsidRPr="006D7536">
        <w:rPr>
          <w:rFonts w:asciiTheme="majorBidi" w:hAnsiTheme="majorBidi" w:cstheme="majorBidi"/>
        </w:rPr>
        <w:t xml:space="preserve">Common variable immune deficiency disease (CVID) </w:t>
      </w:r>
      <w:r w:rsidR="006121DA" w:rsidRPr="006D7536">
        <w:rPr>
          <w:rFonts w:asciiTheme="majorBidi" w:hAnsiTheme="majorBidi" w:cstheme="majorBidi"/>
        </w:rPr>
        <w:t>is one of the most common primary immunodeficiency disorders</w:t>
      </w:r>
      <w:r w:rsidRPr="006D7536">
        <w:rPr>
          <w:rFonts w:asciiTheme="majorBidi" w:hAnsiTheme="majorBidi" w:cstheme="majorBidi"/>
        </w:rPr>
        <w:t>. It causes reduction of immunoglobulin levels and specific antibodies production and enhancement of recurrent and chronic infections risk, especially respiratory infections</w:t>
      </w:r>
      <w:r w:rsidR="00CE156C" w:rsidRPr="006D7536">
        <w:rPr>
          <w:rFonts w:asciiTheme="majorBidi" w:hAnsiTheme="majorBidi" w:cstheme="majorBidi"/>
        </w:rPr>
        <w:t xml:space="preserve"> </w:t>
      </w:r>
      <w:r w:rsidR="000610FD" w:rsidRPr="006D7536">
        <w:rPr>
          <w:rFonts w:asciiTheme="majorBidi" w:hAnsiTheme="majorBidi" w:cstheme="majorBidi"/>
        </w:rPr>
        <w:t>and gastrointestinal tracts.</w:t>
      </w:r>
      <w:r w:rsidR="00D0342E" w:rsidRPr="006D7536">
        <w:rPr>
          <w:rFonts w:asciiTheme="majorBidi" w:hAnsiTheme="majorBidi" w:cstheme="majorBidi"/>
          <w:color w:val="000000"/>
          <w:shd w:val="clear" w:color="auto" w:fill="FFFFFF"/>
        </w:rPr>
        <w:t xml:space="preserve"> Here, we report a case of CVID in a </w:t>
      </w:r>
      <w:r w:rsidR="00D0342E" w:rsidRPr="006D7536">
        <w:rPr>
          <w:rFonts w:asciiTheme="majorBidi" w:hAnsiTheme="majorBidi" w:cstheme="majorBidi"/>
        </w:rPr>
        <w:t>3 years old male with recurrent hospitalizations because of gastroenteritis and sinobronchitis infections</w:t>
      </w:r>
      <w:r w:rsidR="00760E10">
        <w:rPr>
          <w:rFonts w:asciiTheme="majorBidi" w:hAnsiTheme="majorBidi" w:cstheme="majorBidi"/>
        </w:rPr>
        <w:t xml:space="preserve"> </w:t>
      </w:r>
      <w:r w:rsidR="00760E10" w:rsidRPr="006D7536">
        <w:rPr>
          <w:rFonts w:asciiTheme="majorBidi" w:hAnsiTheme="majorBidi" w:cstheme="majorBidi"/>
        </w:rPr>
        <w:t>that was treated as allergic disease for a long time but he does not improved</w:t>
      </w:r>
      <w:r w:rsidR="00760E10">
        <w:rPr>
          <w:rFonts w:asciiTheme="majorBidi" w:hAnsiTheme="majorBidi" w:cstheme="majorBidi"/>
        </w:rPr>
        <w:t>. During receiving IVIG he ha</w:t>
      </w:r>
      <w:r w:rsidR="007239B5">
        <w:rPr>
          <w:rFonts w:asciiTheme="majorBidi" w:hAnsiTheme="majorBidi" w:cstheme="majorBidi"/>
        </w:rPr>
        <w:t>d</w:t>
      </w:r>
      <w:r w:rsidR="00760E10">
        <w:rPr>
          <w:rFonts w:asciiTheme="majorBidi" w:hAnsiTheme="majorBidi" w:cstheme="majorBidi"/>
        </w:rPr>
        <w:t xml:space="preserve"> sever reaction and treated as anaphylaxis an admitted to ICU.  </w:t>
      </w:r>
    </w:p>
    <w:p w:rsidR="000610FD" w:rsidRPr="006D7536" w:rsidRDefault="00D0342E" w:rsidP="00D0342E">
      <w:pPr>
        <w:rPr>
          <w:rFonts w:asciiTheme="majorBidi" w:hAnsiTheme="majorBidi" w:cstheme="majorBidi"/>
        </w:rPr>
      </w:pPr>
      <w:r w:rsidRPr="006D7536">
        <w:rPr>
          <w:rFonts w:asciiTheme="majorBidi" w:hAnsiTheme="majorBidi" w:cstheme="majorBidi"/>
        </w:rPr>
        <w:t>Key words: primary immunodeficiency disorders, CVID, immunoglobulin</w:t>
      </w:r>
      <w:r w:rsidR="00B717F0" w:rsidRPr="006D7536">
        <w:rPr>
          <w:rFonts w:asciiTheme="majorBidi" w:hAnsiTheme="majorBidi" w:cstheme="majorBidi"/>
        </w:rPr>
        <w:t>,</w:t>
      </w:r>
      <w:r w:rsidR="000F6CB1">
        <w:rPr>
          <w:rFonts w:asciiTheme="majorBidi" w:hAnsiTheme="majorBidi" w:cstheme="majorBidi"/>
        </w:rPr>
        <w:t xml:space="preserve"> </w:t>
      </w:r>
      <w:r w:rsidR="00B717F0" w:rsidRPr="006D7536">
        <w:rPr>
          <w:rFonts w:asciiTheme="majorBidi" w:hAnsiTheme="majorBidi" w:cstheme="majorBidi"/>
        </w:rPr>
        <w:t>IVIG.</w:t>
      </w:r>
    </w:p>
    <w:p w:rsidR="00D0342E" w:rsidRDefault="00D0342E" w:rsidP="00D0342E">
      <w:pPr>
        <w:rPr>
          <w:rFonts w:asciiTheme="majorBidi" w:hAnsiTheme="majorBidi" w:cstheme="majorBidi"/>
          <w:b/>
          <w:bCs/>
          <w:sz w:val="26"/>
          <w:szCs w:val="26"/>
        </w:rPr>
      </w:pPr>
      <w:r w:rsidRPr="00EC14F5">
        <w:rPr>
          <w:rFonts w:asciiTheme="majorBidi" w:hAnsiTheme="majorBidi" w:cstheme="majorBidi"/>
          <w:b/>
          <w:bCs/>
          <w:sz w:val="26"/>
          <w:szCs w:val="26"/>
        </w:rPr>
        <w:t>Introduction:</w:t>
      </w:r>
    </w:p>
    <w:p w:rsidR="00D0342E" w:rsidRPr="006D7536" w:rsidRDefault="00D0342E" w:rsidP="00D0342E">
      <w:pPr>
        <w:rPr>
          <w:rFonts w:asciiTheme="majorBidi" w:hAnsiTheme="majorBidi" w:cstheme="majorBidi"/>
        </w:rPr>
      </w:pPr>
      <w:r w:rsidRPr="006D7536">
        <w:rPr>
          <w:rFonts w:asciiTheme="majorBidi" w:hAnsiTheme="majorBidi" w:cstheme="majorBidi"/>
        </w:rPr>
        <w:t xml:space="preserve">Common variable immunodeficiency (CVID) is a primary immunodeficiency disorder characterized by impaired B-cell differentiation with defective immunoglobulin production. </w:t>
      </w:r>
      <w:r w:rsidRPr="006D7536">
        <w:rPr>
          <w:rFonts w:asciiTheme="majorBidi" w:hAnsiTheme="majorBidi" w:cstheme="majorBidi"/>
          <w:vertAlign w:val="superscript"/>
        </w:rPr>
        <w:t>(1)</w:t>
      </w:r>
      <w:r w:rsidRPr="006D7536">
        <w:rPr>
          <w:rFonts w:asciiTheme="majorBidi" w:hAnsiTheme="majorBidi" w:cstheme="majorBidi"/>
        </w:rPr>
        <w:t xml:space="preserve"> It is defined by markedly reduced serum concentrations of immunoglobulin G (</w:t>
      </w:r>
      <w:proofErr w:type="spellStart"/>
      <w:r w:rsidRPr="006D7536">
        <w:rPr>
          <w:rFonts w:asciiTheme="majorBidi" w:hAnsiTheme="majorBidi" w:cstheme="majorBidi"/>
        </w:rPr>
        <w:t>IgG</w:t>
      </w:r>
      <w:proofErr w:type="spellEnd"/>
      <w:r w:rsidRPr="006D7536">
        <w:rPr>
          <w:rFonts w:asciiTheme="majorBidi" w:hAnsiTheme="majorBidi" w:cstheme="majorBidi"/>
        </w:rPr>
        <w:t xml:space="preserve">) in combination with low levels of IgA and/or </w:t>
      </w:r>
      <w:proofErr w:type="spellStart"/>
      <w:r w:rsidRPr="006D7536">
        <w:rPr>
          <w:rFonts w:asciiTheme="majorBidi" w:hAnsiTheme="majorBidi" w:cstheme="majorBidi"/>
        </w:rPr>
        <w:t>IgM</w:t>
      </w:r>
      <w:proofErr w:type="spellEnd"/>
      <w:r w:rsidRPr="006D7536">
        <w:rPr>
          <w:rFonts w:asciiTheme="majorBidi" w:hAnsiTheme="majorBidi" w:cstheme="majorBidi"/>
        </w:rPr>
        <w:t>, poor or absent response to immunizations and an absence of any other defined immunodeficiency state.</w:t>
      </w:r>
      <w:r w:rsidRPr="006D7536">
        <w:rPr>
          <w:rFonts w:asciiTheme="majorBidi" w:hAnsiTheme="majorBidi" w:cstheme="majorBidi"/>
          <w:vertAlign w:val="superscript"/>
        </w:rPr>
        <w:t xml:space="preserve"> (2)</w:t>
      </w:r>
      <w:r w:rsidRPr="006D7536">
        <w:rPr>
          <w:rFonts w:asciiTheme="majorBidi" w:hAnsiTheme="majorBidi" w:cstheme="majorBidi"/>
        </w:rPr>
        <w:t xml:space="preserve"> Clinical manifestation of the disease may be at any age, with a first peak at 5 to 10 years and second, between 20 and 30 years.</w:t>
      </w:r>
      <w:r w:rsidRPr="006D7536">
        <w:rPr>
          <w:sz w:val="20"/>
          <w:szCs w:val="20"/>
        </w:rPr>
        <w:t xml:space="preserve"> </w:t>
      </w:r>
      <w:r w:rsidRPr="006D7536">
        <w:rPr>
          <w:vertAlign w:val="superscript"/>
        </w:rPr>
        <w:t xml:space="preserve">(3) </w:t>
      </w:r>
      <w:r w:rsidRPr="006D7536">
        <w:rPr>
          <w:rFonts w:asciiTheme="majorBidi" w:hAnsiTheme="majorBidi" w:cstheme="majorBidi"/>
        </w:rPr>
        <w:t>Diagnostic criteria have been established, aiming to suspect PID in children including frequent infections of ears, sinuses and lungs, recurrent abscesses, persistent rash after first year of age, inefficiency of long-lasting treatment with antibiotics, inability to gain weight and growth, as well as family history of PID. Despite awareness of health care providers, a delay of several years is observed between first symptoms and diagnosis of PID</w:t>
      </w:r>
      <w:r w:rsidR="00303144" w:rsidRPr="006D7536">
        <w:rPr>
          <w:rFonts w:asciiTheme="majorBidi" w:hAnsiTheme="majorBidi" w:cstheme="majorBidi"/>
        </w:rPr>
        <w:t>.</w:t>
      </w:r>
      <w:r w:rsidR="00303144" w:rsidRPr="006D7536">
        <w:rPr>
          <w:rFonts w:asciiTheme="majorBidi" w:hAnsiTheme="majorBidi" w:cstheme="majorBidi"/>
          <w:vertAlign w:val="superscript"/>
        </w:rPr>
        <w:t xml:space="preserve"> (</w:t>
      </w:r>
      <w:r w:rsidR="00E23E97" w:rsidRPr="006D7536">
        <w:rPr>
          <w:rFonts w:asciiTheme="majorBidi" w:hAnsiTheme="majorBidi" w:cstheme="majorBidi"/>
          <w:vertAlign w:val="superscript"/>
        </w:rPr>
        <w:t xml:space="preserve">4) </w:t>
      </w:r>
      <w:r w:rsidR="00303144" w:rsidRPr="006D7536">
        <w:rPr>
          <w:rFonts w:ascii="Georgia" w:hAnsi="Georgia"/>
          <w:color w:val="000000"/>
          <w:sz w:val="24"/>
          <w:szCs w:val="24"/>
          <w:shd w:val="clear" w:color="auto" w:fill="FFFFFF"/>
        </w:rPr>
        <w:t> </w:t>
      </w:r>
      <w:r w:rsidR="00303144" w:rsidRPr="006D7536">
        <w:rPr>
          <w:rFonts w:asciiTheme="majorBidi" w:hAnsiTheme="majorBidi" w:cstheme="majorBidi"/>
        </w:rPr>
        <w:t>Detection of antibody deficiency is an important clue to suggest a CVID diagnosis.</w:t>
      </w:r>
    </w:p>
    <w:p w:rsidR="00303144" w:rsidRDefault="00303144" w:rsidP="00303144">
      <w:pPr>
        <w:rPr>
          <w:rFonts w:asciiTheme="majorBidi" w:hAnsiTheme="majorBidi" w:cstheme="majorBidi"/>
          <w:b/>
          <w:bCs/>
          <w:color w:val="000000"/>
          <w:sz w:val="24"/>
          <w:szCs w:val="24"/>
          <w:shd w:val="clear" w:color="auto" w:fill="FFFFFF"/>
        </w:rPr>
      </w:pPr>
      <w:r w:rsidRPr="00F90957">
        <w:rPr>
          <w:rFonts w:asciiTheme="majorBidi" w:hAnsiTheme="majorBidi" w:cstheme="majorBidi"/>
          <w:b/>
          <w:bCs/>
          <w:color w:val="000000"/>
          <w:sz w:val="24"/>
          <w:szCs w:val="24"/>
          <w:shd w:val="clear" w:color="auto" w:fill="FFFFFF"/>
        </w:rPr>
        <w:t>Case report:</w:t>
      </w:r>
    </w:p>
    <w:p w:rsidR="00303144" w:rsidRPr="006D7536" w:rsidRDefault="00DE378C" w:rsidP="007239B5">
      <w:pPr>
        <w:spacing w:before="240"/>
        <w:rPr>
          <w:rFonts w:asciiTheme="majorBidi" w:hAnsiTheme="majorBidi" w:cstheme="majorBidi"/>
        </w:rPr>
      </w:pPr>
      <w:r w:rsidRPr="006D7536">
        <w:rPr>
          <w:rFonts w:asciiTheme="majorBidi" w:eastAsia="Times New Roman" w:hAnsiTheme="majorBidi" w:cstheme="majorBidi"/>
          <w:color w:val="000000"/>
        </w:rPr>
        <w:t xml:space="preserve">A three-year-old boy, born of a consanguineous marriage, presented to us </w:t>
      </w:r>
      <w:r w:rsidRPr="006D7536">
        <w:rPr>
          <w:rFonts w:asciiTheme="majorBidi" w:hAnsiTheme="majorBidi" w:cstheme="majorBidi"/>
          <w:color w:val="000000"/>
          <w:shd w:val="clear" w:color="auto" w:fill="FFFFFF"/>
        </w:rPr>
        <w:t xml:space="preserve">with a history of </w:t>
      </w:r>
      <w:r w:rsidRPr="006D7536">
        <w:rPr>
          <w:rFonts w:asciiTheme="majorBidi" w:hAnsiTheme="majorBidi" w:cstheme="majorBidi"/>
        </w:rPr>
        <w:t>recurrent hospitalizations because of gastroenteritis and sinobronchitis infections that was treated as allergic disease for a long time but he does not improved</w:t>
      </w:r>
      <w:r w:rsidRPr="006D7536">
        <w:rPr>
          <w:rFonts w:asciiTheme="majorBidi" w:eastAsia="Times New Roman" w:hAnsiTheme="majorBidi" w:cstheme="majorBidi"/>
          <w:color w:val="000000"/>
        </w:rPr>
        <w:t>. On Clinical examination, the patient was febrile, weighed 14kg, and had mild pallor. The cardiovascular, respiratory and nervous systems were normal</w:t>
      </w:r>
      <w:r w:rsidRPr="006D7536">
        <w:rPr>
          <w:rFonts w:asciiTheme="majorBidi" w:hAnsiTheme="majorBidi" w:cstheme="majorBidi"/>
          <w:color w:val="000000"/>
          <w:shd w:val="clear" w:color="auto" w:fill="FFFFFF"/>
        </w:rPr>
        <w:t xml:space="preserve"> and no lymph nodes were palpable.</w:t>
      </w:r>
      <w:r w:rsidRPr="006D7536">
        <w:rPr>
          <w:rFonts w:asciiTheme="majorBidi" w:eastAsia="Times New Roman" w:hAnsiTheme="majorBidi" w:cstheme="majorBidi"/>
          <w:color w:val="000000"/>
        </w:rPr>
        <w:t xml:space="preserve"> He had normal developmental history and there is no family history of the disease. A chest x-ray showed no pathologic findings. Laboratory investigations revealed hemoglobin 1</w:t>
      </w:r>
      <w:r w:rsidR="007239B5">
        <w:rPr>
          <w:rFonts w:asciiTheme="majorBidi" w:eastAsia="Times New Roman" w:hAnsiTheme="majorBidi" w:cstheme="majorBidi"/>
          <w:color w:val="000000"/>
        </w:rPr>
        <w:t>0</w:t>
      </w:r>
      <w:r w:rsidRPr="006D7536">
        <w:rPr>
          <w:rFonts w:asciiTheme="majorBidi" w:eastAsia="Times New Roman" w:hAnsiTheme="majorBidi" w:cstheme="majorBidi"/>
          <w:color w:val="000000"/>
        </w:rPr>
        <w:t> g/</w:t>
      </w:r>
      <w:proofErr w:type="spellStart"/>
      <w:r w:rsidRPr="006D7536">
        <w:rPr>
          <w:rFonts w:asciiTheme="majorBidi" w:eastAsia="Times New Roman" w:hAnsiTheme="majorBidi" w:cstheme="majorBidi"/>
          <w:color w:val="000000"/>
        </w:rPr>
        <w:t>dL</w:t>
      </w:r>
      <w:proofErr w:type="spellEnd"/>
      <w:r w:rsidRPr="006D7536">
        <w:rPr>
          <w:rFonts w:asciiTheme="majorBidi" w:eastAsia="Times New Roman" w:hAnsiTheme="majorBidi" w:cstheme="majorBidi"/>
          <w:color w:val="000000"/>
        </w:rPr>
        <w:t>, total leukocyte count 9.4 × 10</w:t>
      </w:r>
      <w:r w:rsidRPr="006D7536">
        <w:rPr>
          <w:rFonts w:asciiTheme="majorBidi" w:eastAsia="Times New Roman" w:hAnsiTheme="majorBidi" w:cstheme="majorBidi"/>
          <w:color w:val="000000"/>
          <w:vertAlign w:val="superscript"/>
        </w:rPr>
        <w:t>3</w:t>
      </w:r>
      <w:r w:rsidRPr="006D7536">
        <w:rPr>
          <w:rFonts w:asciiTheme="majorBidi" w:eastAsia="Times New Roman" w:hAnsiTheme="majorBidi" w:cstheme="majorBidi"/>
          <w:color w:val="000000"/>
        </w:rPr>
        <w:t>/</w:t>
      </w:r>
      <w:proofErr w:type="spellStart"/>
      <w:r w:rsidRPr="006D7536">
        <w:rPr>
          <w:rFonts w:asciiTheme="majorBidi" w:eastAsia="Times New Roman" w:hAnsiTheme="majorBidi" w:cstheme="majorBidi"/>
          <w:color w:val="000000"/>
        </w:rPr>
        <w:t>μL</w:t>
      </w:r>
      <w:proofErr w:type="spellEnd"/>
      <w:r w:rsidRPr="006D7536">
        <w:rPr>
          <w:rFonts w:asciiTheme="majorBidi" w:eastAsia="Times New Roman" w:hAnsiTheme="majorBidi" w:cstheme="majorBidi"/>
          <w:color w:val="000000"/>
        </w:rPr>
        <w:t xml:space="preserve"> (</w:t>
      </w:r>
      <w:proofErr w:type="spellStart"/>
      <w:r w:rsidRPr="006D7536">
        <w:rPr>
          <w:rFonts w:asciiTheme="majorBidi" w:eastAsia="Times New Roman" w:hAnsiTheme="majorBidi" w:cstheme="majorBidi"/>
          <w:color w:val="000000"/>
        </w:rPr>
        <w:t>Neu</w:t>
      </w:r>
      <w:proofErr w:type="spellEnd"/>
      <w:r w:rsidRPr="006D7536">
        <w:rPr>
          <w:rFonts w:asciiTheme="majorBidi" w:eastAsia="Times New Roman" w:hAnsiTheme="majorBidi" w:cstheme="majorBidi"/>
          <w:color w:val="000000"/>
        </w:rPr>
        <w:t xml:space="preserve">: 39%, </w:t>
      </w:r>
      <w:proofErr w:type="spellStart"/>
      <w:r w:rsidRPr="006D7536">
        <w:rPr>
          <w:rFonts w:asciiTheme="majorBidi" w:eastAsia="Times New Roman" w:hAnsiTheme="majorBidi" w:cstheme="majorBidi"/>
          <w:color w:val="000000"/>
        </w:rPr>
        <w:t>Lym</w:t>
      </w:r>
      <w:proofErr w:type="spellEnd"/>
      <w:r w:rsidRPr="006D7536">
        <w:rPr>
          <w:rFonts w:asciiTheme="majorBidi" w:eastAsia="Times New Roman" w:hAnsiTheme="majorBidi" w:cstheme="majorBidi"/>
          <w:color w:val="000000"/>
        </w:rPr>
        <w:t>: 54%), platelet count 252 × 10</w:t>
      </w:r>
      <w:r w:rsidRPr="006D7536">
        <w:rPr>
          <w:rFonts w:asciiTheme="majorBidi" w:eastAsia="Times New Roman" w:hAnsiTheme="majorBidi" w:cstheme="majorBidi"/>
          <w:color w:val="000000"/>
          <w:vertAlign w:val="superscript"/>
        </w:rPr>
        <w:t>3</w:t>
      </w:r>
      <w:r w:rsidRPr="006D7536">
        <w:rPr>
          <w:rFonts w:asciiTheme="majorBidi" w:eastAsia="Times New Roman" w:hAnsiTheme="majorBidi" w:cstheme="majorBidi"/>
          <w:color w:val="000000"/>
        </w:rPr>
        <w:t>/</w:t>
      </w:r>
      <w:proofErr w:type="spellStart"/>
      <w:r w:rsidRPr="006D7536">
        <w:rPr>
          <w:rFonts w:asciiTheme="majorBidi" w:eastAsia="Times New Roman" w:hAnsiTheme="majorBidi" w:cstheme="majorBidi"/>
          <w:color w:val="000000"/>
        </w:rPr>
        <w:t>μL</w:t>
      </w:r>
      <w:proofErr w:type="spellEnd"/>
      <w:r w:rsidRPr="006D7536">
        <w:rPr>
          <w:rFonts w:asciiTheme="majorBidi" w:eastAsia="Times New Roman" w:hAnsiTheme="majorBidi" w:cstheme="majorBidi"/>
          <w:color w:val="000000"/>
        </w:rPr>
        <w:t xml:space="preserve">, </w:t>
      </w:r>
      <w:proofErr w:type="spellStart"/>
      <w:r w:rsidRPr="006D7536">
        <w:rPr>
          <w:rFonts w:asciiTheme="majorBidi" w:eastAsia="Times New Roman" w:hAnsiTheme="majorBidi" w:cstheme="majorBidi"/>
          <w:color w:val="000000"/>
        </w:rPr>
        <w:t>IgG</w:t>
      </w:r>
      <w:proofErr w:type="spellEnd"/>
      <w:r w:rsidRPr="006D7536">
        <w:rPr>
          <w:rFonts w:asciiTheme="majorBidi" w:eastAsia="Times New Roman" w:hAnsiTheme="majorBidi" w:cstheme="majorBidi"/>
          <w:color w:val="000000"/>
        </w:rPr>
        <w:t xml:space="preserve"> 2.8 g/L, IgA 0.</w:t>
      </w:r>
      <w:r w:rsidR="007239B5">
        <w:rPr>
          <w:rFonts w:asciiTheme="majorBidi" w:eastAsia="Times New Roman" w:hAnsiTheme="majorBidi" w:cstheme="majorBidi"/>
          <w:color w:val="000000"/>
        </w:rPr>
        <w:t>1</w:t>
      </w:r>
      <w:r w:rsidRPr="006D7536">
        <w:rPr>
          <w:rFonts w:asciiTheme="majorBidi" w:eastAsia="Times New Roman" w:hAnsiTheme="majorBidi" w:cstheme="majorBidi"/>
          <w:color w:val="000000"/>
        </w:rPr>
        <w:t xml:space="preserve"> g/L, </w:t>
      </w:r>
      <w:proofErr w:type="spellStart"/>
      <w:r w:rsidRPr="006D7536">
        <w:rPr>
          <w:rFonts w:asciiTheme="majorBidi" w:eastAsia="Times New Roman" w:hAnsiTheme="majorBidi" w:cstheme="majorBidi"/>
          <w:color w:val="000000"/>
        </w:rPr>
        <w:t>IgM</w:t>
      </w:r>
      <w:proofErr w:type="spellEnd"/>
      <w:r w:rsidRPr="006D7536">
        <w:rPr>
          <w:rFonts w:asciiTheme="majorBidi" w:eastAsia="Times New Roman" w:hAnsiTheme="majorBidi" w:cstheme="majorBidi"/>
          <w:color w:val="000000"/>
        </w:rPr>
        <w:t xml:space="preserve"> 0.2 g/L, </w:t>
      </w:r>
      <w:proofErr w:type="spellStart"/>
      <w:r w:rsidRPr="006D7536">
        <w:rPr>
          <w:rFonts w:asciiTheme="majorBidi" w:eastAsia="Times New Roman" w:hAnsiTheme="majorBidi" w:cstheme="majorBidi"/>
          <w:color w:val="000000"/>
        </w:rPr>
        <w:t>IgE</w:t>
      </w:r>
      <w:proofErr w:type="spellEnd"/>
      <w:r w:rsidRPr="006D7536">
        <w:rPr>
          <w:rFonts w:asciiTheme="majorBidi" w:eastAsia="Times New Roman" w:hAnsiTheme="majorBidi" w:cstheme="majorBidi"/>
          <w:color w:val="000000"/>
        </w:rPr>
        <w:t xml:space="preserve"> 4.1 g/L, total protein 6.2 g/dl and Albumin 4 g/dl</w:t>
      </w:r>
      <w:r w:rsidR="007971E8" w:rsidRPr="006D7536">
        <w:rPr>
          <w:rFonts w:asciiTheme="majorBidi" w:eastAsia="Times New Roman" w:hAnsiTheme="majorBidi" w:cstheme="majorBidi"/>
          <w:color w:val="000000"/>
        </w:rPr>
        <w:t xml:space="preserve">. His blood group was A positive and isohemagglutinin A and B was negative and Diphtheria </w:t>
      </w:r>
      <w:proofErr w:type="spellStart"/>
      <w:r w:rsidR="007971E8" w:rsidRPr="006D7536">
        <w:rPr>
          <w:rFonts w:asciiTheme="majorBidi" w:eastAsia="Times New Roman" w:hAnsiTheme="majorBidi" w:cstheme="majorBidi"/>
          <w:color w:val="000000"/>
        </w:rPr>
        <w:t>IgG</w:t>
      </w:r>
      <w:proofErr w:type="spellEnd"/>
      <w:r w:rsidR="007971E8" w:rsidRPr="006D7536">
        <w:rPr>
          <w:rFonts w:asciiTheme="majorBidi" w:eastAsia="Times New Roman" w:hAnsiTheme="majorBidi" w:cstheme="majorBidi"/>
          <w:color w:val="000000"/>
        </w:rPr>
        <w:t xml:space="preserve"> 0.0</w:t>
      </w:r>
      <w:r w:rsidR="007239B5">
        <w:rPr>
          <w:rFonts w:asciiTheme="majorBidi" w:eastAsia="Times New Roman" w:hAnsiTheme="majorBidi" w:cstheme="majorBidi"/>
          <w:color w:val="000000"/>
        </w:rPr>
        <w:t>1</w:t>
      </w:r>
      <w:r w:rsidR="007971E8" w:rsidRPr="006D7536">
        <w:rPr>
          <w:rFonts w:asciiTheme="majorBidi" w:eastAsia="Times New Roman" w:hAnsiTheme="majorBidi" w:cstheme="majorBidi"/>
          <w:color w:val="000000"/>
        </w:rPr>
        <w:t xml:space="preserve"> IU/ml.</w:t>
      </w:r>
      <w:r w:rsidR="002228B3" w:rsidRPr="006D7536">
        <w:rPr>
          <w:rFonts w:asciiTheme="majorBidi" w:hAnsiTheme="majorBidi" w:cstheme="majorBidi"/>
          <w:b/>
          <w:bCs/>
          <w:color w:val="000000"/>
          <w:shd w:val="clear" w:color="auto" w:fill="FFFFFF"/>
        </w:rPr>
        <w:t xml:space="preserve"> </w:t>
      </w:r>
      <w:r w:rsidR="003F77EF" w:rsidRPr="006D7536">
        <w:rPr>
          <w:rFonts w:asciiTheme="majorBidi" w:hAnsiTheme="majorBidi" w:cstheme="majorBidi"/>
        </w:rPr>
        <w:t>The diagnosis of commo</w:t>
      </w:r>
      <w:r w:rsidR="002228B3" w:rsidRPr="006D7536">
        <w:rPr>
          <w:rFonts w:asciiTheme="majorBidi" w:hAnsiTheme="majorBidi" w:cstheme="majorBidi"/>
        </w:rPr>
        <w:t>n variable immune deficiency</w:t>
      </w:r>
      <w:r w:rsidR="003F77EF" w:rsidRPr="006D7536">
        <w:rPr>
          <w:rFonts w:asciiTheme="majorBidi" w:hAnsiTheme="majorBidi" w:cstheme="majorBidi"/>
        </w:rPr>
        <w:t xml:space="preserve"> was sus</w:t>
      </w:r>
      <w:r w:rsidR="002228B3" w:rsidRPr="006D7536">
        <w:rPr>
          <w:rFonts w:asciiTheme="majorBidi" w:hAnsiTheme="majorBidi" w:cstheme="majorBidi"/>
        </w:rPr>
        <w:t>pected because of low serum level of immunoglobulins</w:t>
      </w:r>
      <w:r w:rsidR="00536B86" w:rsidRPr="006D7536">
        <w:rPr>
          <w:rFonts w:asciiTheme="majorBidi" w:hAnsiTheme="majorBidi" w:cstheme="majorBidi"/>
        </w:rPr>
        <w:t xml:space="preserve"> and absent </w:t>
      </w:r>
      <w:r w:rsidR="00760E10" w:rsidRPr="006D7536">
        <w:rPr>
          <w:rFonts w:asciiTheme="majorBidi" w:hAnsiTheme="majorBidi" w:cstheme="majorBidi"/>
        </w:rPr>
        <w:t>isohemagglutinin</w:t>
      </w:r>
      <w:r w:rsidR="002228B3" w:rsidRPr="006D7536">
        <w:rPr>
          <w:rFonts w:asciiTheme="majorBidi" w:hAnsiTheme="majorBidi" w:cstheme="majorBidi"/>
        </w:rPr>
        <w:t xml:space="preserve">. </w:t>
      </w:r>
      <w:r w:rsidR="00536B86" w:rsidRPr="006D7536">
        <w:rPr>
          <w:rFonts w:asciiTheme="majorBidi" w:hAnsiTheme="majorBidi" w:cstheme="majorBidi"/>
        </w:rPr>
        <w:t xml:space="preserve">Secondary causes of hypogammaglobulinemia had been excluded. The </w:t>
      </w:r>
      <w:r w:rsidR="002228B3" w:rsidRPr="006D7536">
        <w:rPr>
          <w:rFonts w:asciiTheme="majorBidi" w:hAnsiTheme="majorBidi" w:cstheme="majorBidi"/>
        </w:rPr>
        <w:t>patient was started on IVIG.</w:t>
      </w:r>
      <w:r w:rsidR="00035AD0">
        <w:rPr>
          <w:rFonts w:asciiTheme="majorBidi" w:hAnsiTheme="majorBidi" w:cstheme="majorBidi"/>
        </w:rPr>
        <w:t xml:space="preserve"> During </w:t>
      </w:r>
      <w:r w:rsidR="00035AD0" w:rsidRPr="00035AD0">
        <w:rPr>
          <w:rFonts w:asciiTheme="majorBidi" w:hAnsiTheme="majorBidi" w:cstheme="majorBidi"/>
        </w:rPr>
        <w:t>receiving</w:t>
      </w:r>
      <w:r w:rsidR="00035AD0">
        <w:rPr>
          <w:rFonts w:asciiTheme="majorBidi" w:hAnsiTheme="majorBidi" w:cstheme="majorBidi"/>
        </w:rPr>
        <w:t xml:space="preserve"> IVIG the patient showed symptoms of anaphylaxis that treated with epinephrine and was admitted in ICU.</w:t>
      </w:r>
      <w:r w:rsidR="00760E10">
        <w:rPr>
          <w:rFonts w:asciiTheme="majorBidi" w:hAnsiTheme="majorBidi" w:cstheme="majorBidi"/>
        </w:rPr>
        <w:t xml:space="preserve"> </w:t>
      </w:r>
      <w:r w:rsidR="00536B86" w:rsidRPr="006D7536">
        <w:rPr>
          <w:rFonts w:asciiTheme="majorBidi" w:hAnsiTheme="majorBidi" w:cstheme="majorBidi"/>
        </w:rPr>
        <w:t>The patient is now receiving regular infusions of intravenous</w:t>
      </w:r>
      <w:r w:rsidR="00B717F0" w:rsidRPr="006D7536">
        <w:rPr>
          <w:rFonts w:asciiTheme="majorBidi" w:hAnsiTheme="majorBidi" w:cstheme="majorBidi"/>
        </w:rPr>
        <w:t xml:space="preserve"> </w:t>
      </w:r>
      <w:r w:rsidR="00536B86" w:rsidRPr="006D7536">
        <w:rPr>
          <w:rFonts w:asciiTheme="majorBidi" w:hAnsiTheme="majorBidi" w:cstheme="majorBidi"/>
        </w:rPr>
        <w:t>Immunoglobulins</w:t>
      </w:r>
      <w:r w:rsidR="00035AD0">
        <w:rPr>
          <w:rFonts w:asciiTheme="majorBidi" w:hAnsiTheme="majorBidi" w:cstheme="majorBidi"/>
        </w:rPr>
        <w:t xml:space="preserve"> with premedication</w:t>
      </w:r>
      <w:r w:rsidR="00536B86" w:rsidRPr="006D7536">
        <w:rPr>
          <w:rFonts w:asciiTheme="majorBidi" w:hAnsiTheme="majorBidi" w:cstheme="majorBidi"/>
        </w:rPr>
        <w:t xml:space="preserve"> and level of immunoglobulin G</w:t>
      </w:r>
      <w:r w:rsidR="007239B5">
        <w:rPr>
          <w:rFonts w:asciiTheme="majorBidi" w:hAnsiTheme="majorBidi" w:cstheme="majorBidi"/>
        </w:rPr>
        <w:t xml:space="preserve"> is maintained at normal values and he is asymptomatic with monthly IVIG.</w:t>
      </w:r>
    </w:p>
    <w:p w:rsidR="00760E10" w:rsidRDefault="00760E10" w:rsidP="00E64BB3">
      <w:pPr>
        <w:rPr>
          <w:rFonts w:asciiTheme="majorBidi" w:hAnsiTheme="majorBidi" w:cstheme="majorBidi"/>
        </w:rPr>
      </w:pPr>
    </w:p>
    <w:p w:rsidR="00E64BB3" w:rsidRDefault="00E64BB3" w:rsidP="00E64BB3">
      <w:pPr>
        <w:rPr>
          <w:rFonts w:asciiTheme="majorBidi" w:hAnsiTheme="majorBidi" w:cstheme="majorBidi"/>
          <w:b/>
          <w:bCs/>
          <w:sz w:val="24"/>
          <w:szCs w:val="24"/>
        </w:rPr>
      </w:pPr>
      <w:r w:rsidRPr="00C02509">
        <w:rPr>
          <w:rFonts w:asciiTheme="majorBidi" w:hAnsiTheme="majorBidi" w:cstheme="majorBidi"/>
        </w:rPr>
        <w:t> </w:t>
      </w:r>
      <w:r w:rsidRPr="00BA2A03">
        <w:rPr>
          <w:rFonts w:asciiTheme="majorBidi" w:hAnsiTheme="majorBidi" w:cstheme="majorBidi"/>
          <w:b/>
          <w:bCs/>
          <w:sz w:val="24"/>
          <w:szCs w:val="24"/>
        </w:rPr>
        <w:t>Discussion:</w:t>
      </w:r>
    </w:p>
    <w:p w:rsidR="009F2A45" w:rsidRPr="006D7536" w:rsidRDefault="00B91460" w:rsidP="009F2A45">
      <w:pPr>
        <w:autoSpaceDE w:val="0"/>
        <w:autoSpaceDN w:val="0"/>
        <w:adjustRightInd w:val="0"/>
        <w:spacing w:after="0" w:line="240" w:lineRule="auto"/>
        <w:rPr>
          <w:rFonts w:asciiTheme="majorBidi" w:hAnsiTheme="majorBidi" w:cstheme="majorBidi"/>
        </w:rPr>
      </w:pPr>
      <w:r w:rsidRPr="006D7536">
        <w:rPr>
          <w:rFonts w:asciiTheme="majorBidi" w:hAnsiTheme="majorBidi" w:cstheme="majorBidi"/>
        </w:rPr>
        <w:t xml:space="preserve">CVID encompasses a group of heterogeneous syndromes with a common endpoint of defective immunoglobulin production and dysregulated immune responses. CVID pathophysiology remains </w:t>
      </w:r>
      <w:r w:rsidRPr="006D7536">
        <w:rPr>
          <w:rFonts w:asciiTheme="majorBidi" w:hAnsiTheme="majorBidi" w:cstheme="majorBidi"/>
        </w:rPr>
        <w:lastRenderedPageBreak/>
        <w:t>incompletely understood. Antibody production is always disturbed, and this may be due not only to B-cell dysfunction, but also to the impairment of T-cell function and the lack of sufficient support for antibody production.</w:t>
      </w:r>
      <w:r w:rsidRPr="006D7536">
        <w:rPr>
          <w:rFonts w:asciiTheme="majorBidi" w:hAnsiTheme="majorBidi" w:cstheme="majorBidi"/>
          <w:vertAlign w:val="superscript"/>
        </w:rPr>
        <w:t xml:space="preserve"> (5)</w:t>
      </w:r>
      <w:r w:rsidR="008801E8" w:rsidRPr="006D7536">
        <w:rPr>
          <w:rFonts w:asciiTheme="majorBidi" w:hAnsiTheme="majorBidi" w:cstheme="majorBidi"/>
          <w:vertAlign w:val="superscript"/>
        </w:rPr>
        <w:t xml:space="preserve"> </w:t>
      </w:r>
      <w:r w:rsidR="008801E8" w:rsidRPr="006D7536">
        <w:rPr>
          <w:rFonts w:asciiTheme="majorBidi" w:hAnsiTheme="majorBidi" w:cstheme="majorBidi"/>
        </w:rPr>
        <w:t>The range of clinical manifestations is complex, with patients often classified into two main groups: one with only a history of infections and a second group with a history of infections and a variety of inflammatory or autoimmune conditions, with apparently stable phenotypes over time</w:t>
      </w:r>
      <w:r w:rsidR="001112DE" w:rsidRPr="006D7536">
        <w:rPr>
          <w:rFonts w:asciiTheme="majorBidi" w:hAnsiTheme="majorBidi" w:cstheme="majorBidi"/>
        </w:rPr>
        <w:t>.</w:t>
      </w:r>
      <w:r w:rsidR="009F2A45" w:rsidRPr="006D7536">
        <w:rPr>
          <w:rFonts w:asciiTheme="majorBidi" w:hAnsiTheme="majorBidi" w:cstheme="majorBidi"/>
          <w:vertAlign w:val="superscript"/>
        </w:rPr>
        <w:t xml:space="preserve">(6) </w:t>
      </w:r>
      <w:r w:rsidR="009F2A45" w:rsidRPr="006D7536">
        <w:rPr>
          <w:rFonts w:asciiTheme="majorBidi" w:hAnsiTheme="majorBidi" w:cstheme="majorBidi"/>
        </w:rPr>
        <w:t>The most common infections are</w:t>
      </w:r>
    </w:p>
    <w:p w:rsidR="00E64BB3" w:rsidRPr="006D7536" w:rsidRDefault="009F2A45" w:rsidP="009F2A45">
      <w:pPr>
        <w:autoSpaceDE w:val="0"/>
        <w:autoSpaceDN w:val="0"/>
        <w:adjustRightInd w:val="0"/>
        <w:spacing w:after="0" w:line="240" w:lineRule="auto"/>
        <w:rPr>
          <w:rFonts w:asciiTheme="majorBidi" w:hAnsiTheme="majorBidi" w:cstheme="majorBidi"/>
        </w:rPr>
      </w:pPr>
      <w:proofErr w:type="spellStart"/>
      <w:r w:rsidRPr="006D7536">
        <w:rPr>
          <w:rFonts w:asciiTheme="majorBidi" w:hAnsiTheme="majorBidi" w:cstheme="majorBidi"/>
        </w:rPr>
        <w:t>sinopulmonary</w:t>
      </w:r>
      <w:proofErr w:type="spellEnd"/>
      <w:r w:rsidRPr="006D7536">
        <w:rPr>
          <w:rFonts w:asciiTheme="majorBidi" w:hAnsiTheme="majorBidi" w:cstheme="majorBidi"/>
        </w:rPr>
        <w:t xml:space="preserve"> infections, including pneumonia, bronchitis, sinusitis, and otitis, but others such as GI infections, septic arthritis, and bacterial meningitis may also occur.</w:t>
      </w:r>
      <w:r w:rsidRPr="006D7536">
        <w:rPr>
          <w:rFonts w:asciiTheme="majorBidi" w:hAnsiTheme="majorBidi" w:cstheme="majorBidi"/>
          <w:vertAlign w:val="superscript"/>
        </w:rPr>
        <w:t xml:space="preserve">(5) </w:t>
      </w:r>
      <w:r w:rsidRPr="006D7536">
        <w:rPr>
          <w:rFonts w:asciiTheme="majorBidi" w:hAnsiTheme="majorBidi" w:cstheme="majorBidi"/>
        </w:rPr>
        <w:t>Clinical manifestation of the disease may be at any age, with a first peak at 5 to 10 years and second, between 20 and 30 years.</w:t>
      </w:r>
      <w:r w:rsidRPr="006D7536">
        <w:t xml:space="preserve"> </w:t>
      </w:r>
      <w:r w:rsidRPr="006D7536">
        <w:rPr>
          <w:vertAlign w:val="superscript"/>
        </w:rPr>
        <w:t>(3)</w:t>
      </w:r>
    </w:p>
    <w:p w:rsidR="00B717F0" w:rsidRPr="006D7536" w:rsidRDefault="00221939" w:rsidP="00B717F0">
      <w:pPr>
        <w:spacing w:before="240"/>
        <w:rPr>
          <w:rFonts w:asciiTheme="majorBidi" w:hAnsiTheme="majorBidi" w:cstheme="majorBidi"/>
        </w:rPr>
      </w:pPr>
      <w:r w:rsidRPr="006D7536">
        <w:rPr>
          <w:rFonts w:asciiTheme="majorBidi" w:hAnsiTheme="majorBidi" w:cstheme="majorBidi"/>
        </w:rPr>
        <w:t>Diagnostic criteria have been established, aiming to suspect PID in children including frequent infections of ears, sinuses and lungs, recurrent abscesses, persistent rash after first year of age, inefficiency of long-lasting treatment with antibiotics, inability to gain weight and growth, as well as family history of PID. Despite awareness of health care providers, a delay of several years is observed between first symptoms and diagnosis of PID.</w:t>
      </w:r>
      <w:r w:rsidRPr="006D7536">
        <w:rPr>
          <w:rFonts w:asciiTheme="majorBidi" w:hAnsiTheme="majorBidi" w:cstheme="majorBidi"/>
          <w:vertAlign w:val="superscript"/>
        </w:rPr>
        <w:t xml:space="preserve"> (4) </w:t>
      </w:r>
      <w:r w:rsidRPr="006D7536">
        <w:rPr>
          <w:rFonts w:ascii="Georgia" w:hAnsi="Georgia"/>
          <w:color w:val="000000"/>
          <w:shd w:val="clear" w:color="auto" w:fill="FFFFFF"/>
        </w:rPr>
        <w:t> </w:t>
      </w:r>
      <w:r w:rsidRPr="006D7536">
        <w:rPr>
          <w:rFonts w:asciiTheme="majorBidi" w:hAnsiTheme="majorBidi" w:cstheme="majorBidi"/>
        </w:rPr>
        <w:t>Detection of antibody deficiency is an important clue to suggest a CVID diagnosis.</w:t>
      </w:r>
      <w:r w:rsidR="00B717F0" w:rsidRPr="006D7536">
        <w:rPr>
          <w:rFonts w:asciiTheme="majorBidi" w:hAnsiTheme="majorBidi" w:cstheme="majorBidi"/>
          <w:color w:val="000000"/>
          <w:shd w:val="clear" w:color="auto" w:fill="FFFFFF"/>
        </w:rPr>
        <w:t xml:space="preserve"> We report a case of CVID in a </w:t>
      </w:r>
      <w:r w:rsidR="00B717F0" w:rsidRPr="006D7536">
        <w:rPr>
          <w:rFonts w:asciiTheme="majorBidi" w:hAnsiTheme="majorBidi" w:cstheme="majorBidi"/>
        </w:rPr>
        <w:t>3 years old male with recurrent hospitalizations because of gastroenteritis and sinobronchitis infections, and he is now receiving regular infusions of intravenous Immunoglobulins and level of immunoglobulin G is maintained at normal values.</w:t>
      </w:r>
    </w:p>
    <w:p w:rsidR="007239B5" w:rsidRPr="00EF06F9" w:rsidRDefault="007239B5" w:rsidP="007239B5">
      <w:pPr>
        <w:spacing w:after="0" w:line="360" w:lineRule="auto"/>
        <w:jc w:val="both"/>
        <w:rPr>
          <w:rFonts w:asciiTheme="majorBidi" w:hAnsiTheme="majorBidi" w:cstheme="majorBidi"/>
          <w:i/>
          <w:iCs/>
          <w:color w:val="000000" w:themeColor="text1"/>
          <w:sz w:val="24"/>
          <w:szCs w:val="24"/>
        </w:rPr>
      </w:pPr>
      <w:r w:rsidRPr="00EF06F9">
        <w:rPr>
          <w:rStyle w:val="Strong"/>
          <w:rFonts w:asciiTheme="majorBidi" w:hAnsiTheme="majorBidi" w:cstheme="majorBidi"/>
          <w:i/>
          <w:iCs/>
          <w:color w:val="000000" w:themeColor="text1"/>
          <w:sz w:val="24"/>
          <w:szCs w:val="24"/>
        </w:rPr>
        <w:t>Acknowledgements</w:t>
      </w:r>
      <w:r w:rsidRPr="00EF06F9">
        <w:rPr>
          <w:rFonts w:asciiTheme="majorBidi" w:hAnsiTheme="majorBidi" w:cstheme="majorBidi"/>
          <w:i/>
          <w:iCs/>
          <w:color w:val="000000" w:themeColor="text1"/>
          <w:sz w:val="24"/>
          <w:szCs w:val="24"/>
        </w:rPr>
        <w:t xml:space="preserve"> </w:t>
      </w:r>
    </w:p>
    <w:p w:rsidR="007239B5" w:rsidRDefault="007239B5" w:rsidP="007239B5">
      <w:pPr>
        <w:rPr>
          <w:rFonts w:asciiTheme="majorBidi" w:hAnsiTheme="majorBidi" w:cstheme="majorBidi"/>
          <w:b/>
          <w:bCs/>
          <w:sz w:val="28"/>
          <w:szCs w:val="28"/>
        </w:rPr>
      </w:pPr>
      <w:r w:rsidRPr="009E6A00">
        <w:rPr>
          <w:rFonts w:asciiTheme="majorBidi" w:hAnsiTheme="majorBidi" w:cstheme="majorBidi"/>
          <w:color w:val="000000" w:themeColor="text1"/>
          <w:sz w:val="24"/>
          <w:szCs w:val="24"/>
        </w:rPr>
        <w:t xml:space="preserve">The authors would like to thank Ali Asghar Clinical Research Development </w:t>
      </w:r>
      <w:r>
        <w:rPr>
          <w:rFonts w:asciiTheme="majorBidi" w:hAnsiTheme="majorBidi" w:cstheme="majorBidi"/>
          <w:color w:val="000000" w:themeColor="text1"/>
          <w:sz w:val="24"/>
          <w:szCs w:val="24"/>
        </w:rPr>
        <w:t>Center</w:t>
      </w:r>
      <w:r w:rsidRPr="009E6A00">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for </w:t>
      </w:r>
      <w:r w:rsidRPr="009E6A00">
        <w:rPr>
          <w:rFonts w:asciiTheme="majorBidi" w:hAnsiTheme="majorBidi" w:cstheme="majorBidi"/>
          <w:color w:val="000000" w:themeColor="text1"/>
          <w:sz w:val="24"/>
          <w:szCs w:val="24"/>
        </w:rPr>
        <w:t>assistance</w:t>
      </w:r>
    </w:p>
    <w:p w:rsidR="00E632AE" w:rsidRPr="006D7536" w:rsidRDefault="006D7536" w:rsidP="006D7536">
      <w:pPr>
        <w:rPr>
          <w:rFonts w:asciiTheme="majorBidi" w:hAnsiTheme="majorBidi" w:cstheme="majorBidi"/>
          <w:b/>
          <w:bCs/>
          <w:sz w:val="28"/>
          <w:szCs w:val="28"/>
        </w:rPr>
      </w:pPr>
      <w:r w:rsidRPr="006D7536">
        <w:rPr>
          <w:rFonts w:asciiTheme="majorBidi" w:hAnsiTheme="majorBidi" w:cstheme="majorBidi"/>
          <w:b/>
          <w:bCs/>
          <w:sz w:val="28"/>
          <w:szCs w:val="28"/>
        </w:rPr>
        <w:t>References</w:t>
      </w:r>
    </w:p>
    <w:p w:rsidR="00E632AE" w:rsidRPr="006D7536" w:rsidRDefault="00E632AE" w:rsidP="00D0342E">
      <w:pPr>
        <w:rPr>
          <w:rFonts w:asciiTheme="majorBidi" w:hAnsiTheme="majorBidi" w:cstheme="majorBidi"/>
        </w:rPr>
      </w:pPr>
      <w:r w:rsidRPr="006D7536">
        <w:rPr>
          <w:rFonts w:asciiTheme="majorBidi" w:hAnsiTheme="majorBidi" w:cstheme="majorBidi"/>
        </w:rPr>
        <w:t>1)</w:t>
      </w:r>
      <w:r w:rsidR="00814CA3" w:rsidRPr="006D7536">
        <w:rPr>
          <w:rFonts w:asciiTheme="majorBidi" w:hAnsiTheme="majorBidi" w:cstheme="majorBidi"/>
        </w:rPr>
        <w:t xml:space="preserve"> </w:t>
      </w:r>
      <w:proofErr w:type="spellStart"/>
      <w:r w:rsidR="00814CA3" w:rsidRPr="006D7536">
        <w:rPr>
          <w:rFonts w:asciiTheme="majorBidi" w:hAnsiTheme="majorBidi" w:cstheme="majorBidi"/>
        </w:rPr>
        <w:t>Atalaia</w:t>
      </w:r>
      <w:proofErr w:type="spellEnd"/>
      <w:r w:rsidR="00814CA3" w:rsidRPr="006D7536">
        <w:rPr>
          <w:rFonts w:asciiTheme="majorBidi" w:hAnsiTheme="majorBidi" w:cstheme="majorBidi"/>
        </w:rPr>
        <w:t xml:space="preserve">-Martins C, </w:t>
      </w:r>
      <w:proofErr w:type="spellStart"/>
      <w:r w:rsidR="00814CA3" w:rsidRPr="006D7536">
        <w:rPr>
          <w:rFonts w:asciiTheme="majorBidi" w:hAnsiTheme="majorBidi" w:cstheme="majorBidi"/>
        </w:rPr>
        <w:t>Barbeiro</w:t>
      </w:r>
      <w:proofErr w:type="spellEnd"/>
      <w:r w:rsidR="00814CA3" w:rsidRPr="006D7536">
        <w:rPr>
          <w:rFonts w:asciiTheme="majorBidi" w:hAnsiTheme="majorBidi" w:cstheme="majorBidi"/>
        </w:rPr>
        <w:t xml:space="preserve"> S, Marcos P, et al. Common variable immunodeficiency with several gastrointestinal manifestations. ACG Case Rep J. 2017</w:t>
      </w:r>
      <w:r w:rsidR="00AC760C" w:rsidRPr="006D7536">
        <w:rPr>
          <w:rFonts w:asciiTheme="majorBidi" w:hAnsiTheme="majorBidi" w:cstheme="majorBidi"/>
        </w:rPr>
        <w:t>; 4:e106</w:t>
      </w:r>
      <w:r w:rsidR="00814CA3" w:rsidRPr="006D7536">
        <w:rPr>
          <w:rFonts w:asciiTheme="majorBidi" w:hAnsiTheme="majorBidi" w:cstheme="majorBidi"/>
        </w:rPr>
        <w:t>.</w:t>
      </w:r>
    </w:p>
    <w:p w:rsidR="00E632AE" w:rsidRPr="006D7536" w:rsidRDefault="00E632AE" w:rsidP="00AC760C">
      <w:pPr>
        <w:rPr>
          <w:rFonts w:asciiTheme="majorBidi" w:hAnsiTheme="majorBidi" w:cstheme="majorBidi"/>
        </w:rPr>
      </w:pPr>
      <w:r w:rsidRPr="006D7536">
        <w:rPr>
          <w:rFonts w:asciiTheme="majorBidi" w:hAnsiTheme="majorBidi" w:cstheme="majorBidi"/>
        </w:rPr>
        <w:t>2)</w:t>
      </w:r>
      <w:r w:rsidR="00AC760C" w:rsidRPr="006D7536">
        <w:rPr>
          <w:rFonts w:asciiTheme="majorBidi" w:hAnsiTheme="majorBidi" w:cstheme="majorBidi"/>
        </w:rPr>
        <w:t xml:space="preserve"> Andrey V. </w:t>
      </w:r>
      <w:proofErr w:type="spellStart"/>
      <w:r w:rsidR="00AC760C" w:rsidRPr="006D7536">
        <w:rPr>
          <w:rFonts w:asciiTheme="majorBidi" w:hAnsiTheme="majorBidi" w:cstheme="majorBidi"/>
        </w:rPr>
        <w:t>Kozlov</w:t>
      </w:r>
      <w:proofErr w:type="spellEnd"/>
      <w:r w:rsidR="00AC760C" w:rsidRPr="006D7536">
        <w:rPr>
          <w:rFonts w:asciiTheme="majorBidi" w:hAnsiTheme="majorBidi" w:cstheme="majorBidi"/>
        </w:rPr>
        <w:t xml:space="preserve">, Tatiana A. </w:t>
      </w:r>
      <w:proofErr w:type="spellStart"/>
      <w:r w:rsidR="00AC760C" w:rsidRPr="006D7536">
        <w:rPr>
          <w:rFonts w:asciiTheme="majorBidi" w:hAnsiTheme="majorBidi" w:cstheme="majorBidi"/>
        </w:rPr>
        <w:t>Bykova</w:t>
      </w:r>
      <w:proofErr w:type="spellEnd"/>
      <w:r w:rsidR="00AC760C" w:rsidRPr="006D7536">
        <w:rPr>
          <w:rFonts w:asciiTheme="majorBidi" w:hAnsiTheme="majorBidi" w:cstheme="majorBidi"/>
        </w:rPr>
        <w:t>, et al. Common variable immunodeficiency in a child. A case report. 2017-6-4-60-66</w:t>
      </w:r>
    </w:p>
    <w:p w:rsidR="00E632AE" w:rsidRPr="006D7536" w:rsidRDefault="00E632AE" w:rsidP="00E632AE">
      <w:pPr>
        <w:tabs>
          <w:tab w:val="left" w:pos="1279"/>
        </w:tabs>
        <w:rPr>
          <w:rFonts w:asciiTheme="majorBidi" w:hAnsiTheme="majorBidi" w:cstheme="majorBidi"/>
        </w:rPr>
      </w:pPr>
      <w:r w:rsidRPr="006D7536">
        <w:rPr>
          <w:rFonts w:asciiTheme="majorBidi" w:hAnsiTheme="majorBidi" w:cstheme="majorBidi"/>
        </w:rPr>
        <w:t>3)</w:t>
      </w:r>
      <w:r w:rsidR="007D407B" w:rsidRPr="006D7536">
        <w:rPr>
          <w:sz w:val="20"/>
          <w:szCs w:val="20"/>
        </w:rPr>
        <w:t xml:space="preserve"> </w:t>
      </w:r>
      <w:proofErr w:type="spellStart"/>
      <w:r w:rsidR="007D407B" w:rsidRPr="006D7536">
        <w:rPr>
          <w:rFonts w:asciiTheme="majorBidi" w:hAnsiTheme="majorBidi" w:cstheme="majorBidi"/>
        </w:rPr>
        <w:t>Glocher</w:t>
      </w:r>
      <w:proofErr w:type="spellEnd"/>
      <w:r w:rsidR="007D407B" w:rsidRPr="006D7536">
        <w:rPr>
          <w:rFonts w:asciiTheme="majorBidi" w:hAnsiTheme="majorBidi" w:cstheme="majorBidi"/>
        </w:rPr>
        <w:t xml:space="preserve"> E, </w:t>
      </w:r>
      <w:proofErr w:type="spellStart"/>
      <w:r w:rsidR="007D407B" w:rsidRPr="006D7536">
        <w:rPr>
          <w:rFonts w:asciiTheme="majorBidi" w:hAnsiTheme="majorBidi" w:cstheme="majorBidi"/>
        </w:rPr>
        <w:t>Ehl</w:t>
      </w:r>
      <w:proofErr w:type="spellEnd"/>
      <w:r w:rsidR="007D407B" w:rsidRPr="006D7536">
        <w:rPr>
          <w:rFonts w:asciiTheme="majorBidi" w:hAnsiTheme="majorBidi" w:cstheme="majorBidi"/>
        </w:rPr>
        <w:t xml:space="preserve"> S, </w:t>
      </w:r>
      <w:proofErr w:type="spellStart"/>
      <w:r w:rsidR="007D407B" w:rsidRPr="006D7536">
        <w:rPr>
          <w:rFonts w:asciiTheme="majorBidi" w:hAnsiTheme="majorBidi" w:cstheme="majorBidi"/>
        </w:rPr>
        <w:t>Grimbacher</w:t>
      </w:r>
      <w:proofErr w:type="spellEnd"/>
      <w:r w:rsidR="007D407B" w:rsidRPr="006D7536">
        <w:rPr>
          <w:rFonts w:asciiTheme="majorBidi" w:hAnsiTheme="majorBidi" w:cstheme="majorBidi"/>
        </w:rPr>
        <w:t xml:space="preserve"> B. Common variable immunodeficiency in children. Current opinion in pediatrics. 2007; 19:685-692.</w:t>
      </w:r>
    </w:p>
    <w:p w:rsidR="00E632AE" w:rsidRPr="006D7536" w:rsidRDefault="00E632AE" w:rsidP="00E632AE">
      <w:pPr>
        <w:tabs>
          <w:tab w:val="left" w:pos="1279"/>
        </w:tabs>
        <w:rPr>
          <w:rFonts w:asciiTheme="majorBidi" w:hAnsiTheme="majorBidi" w:cstheme="majorBidi"/>
        </w:rPr>
      </w:pPr>
      <w:r w:rsidRPr="006D7536">
        <w:rPr>
          <w:rFonts w:asciiTheme="majorBidi" w:hAnsiTheme="majorBidi" w:cstheme="majorBidi"/>
        </w:rPr>
        <w:t>4)</w:t>
      </w:r>
      <w:r w:rsidRPr="006D7536">
        <w:rPr>
          <w:sz w:val="20"/>
          <w:szCs w:val="20"/>
        </w:rPr>
        <w:t xml:space="preserve"> </w:t>
      </w:r>
      <w:proofErr w:type="spellStart"/>
      <w:r w:rsidRPr="006D7536">
        <w:rPr>
          <w:rFonts w:asciiTheme="majorBidi" w:hAnsiTheme="majorBidi" w:cstheme="majorBidi"/>
        </w:rPr>
        <w:t>Salzer</w:t>
      </w:r>
      <w:proofErr w:type="spellEnd"/>
      <w:r w:rsidRPr="006D7536">
        <w:rPr>
          <w:rFonts w:asciiTheme="majorBidi" w:hAnsiTheme="majorBidi" w:cstheme="majorBidi"/>
        </w:rPr>
        <w:t xml:space="preserve"> U, </w:t>
      </w:r>
      <w:proofErr w:type="spellStart"/>
      <w:r w:rsidRPr="006D7536">
        <w:rPr>
          <w:rFonts w:asciiTheme="majorBidi" w:hAnsiTheme="majorBidi" w:cstheme="majorBidi"/>
        </w:rPr>
        <w:t>Warnatz</w:t>
      </w:r>
      <w:proofErr w:type="spellEnd"/>
      <w:r w:rsidRPr="006D7536">
        <w:rPr>
          <w:rFonts w:asciiTheme="majorBidi" w:hAnsiTheme="majorBidi" w:cstheme="majorBidi"/>
        </w:rPr>
        <w:t xml:space="preserve"> K, </w:t>
      </w:r>
      <w:proofErr w:type="spellStart"/>
      <w:r w:rsidRPr="006D7536">
        <w:rPr>
          <w:rFonts w:asciiTheme="majorBidi" w:hAnsiTheme="majorBidi" w:cstheme="majorBidi"/>
        </w:rPr>
        <w:t>Hartmut</w:t>
      </w:r>
      <w:proofErr w:type="spellEnd"/>
      <w:r w:rsidRPr="006D7536">
        <w:rPr>
          <w:rFonts w:asciiTheme="majorBidi" w:hAnsiTheme="majorBidi" w:cstheme="majorBidi"/>
        </w:rPr>
        <w:t xml:space="preserve"> PH. Common variable immunodeficiency – an update. Arthritis Research &amp; Th erapy.2012:14:223.</w:t>
      </w:r>
    </w:p>
    <w:p w:rsidR="00B91460" w:rsidRPr="006D7536" w:rsidRDefault="00B91460" w:rsidP="00B91460">
      <w:pPr>
        <w:tabs>
          <w:tab w:val="left" w:pos="1279"/>
        </w:tabs>
        <w:rPr>
          <w:rFonts w:asciiTheme="majorBidi" w:hAnsiTheme="majorBidi" w:cstheme="majorBidi"/>
        </w:rPr>
      </w:pPr>
      <w:r w:rsidRPr="006D7536">
        <w:rPr>
          <w:rFonts w:asciiTheme="majorBidi" w:hAnsiTheme="majorBidi" w:cstheme="majorBidi"/>
        </w:rPr>
        <w:t xml:space="preserve">5) Bonilla F, </w:t>
      </w:r>
      <w:proofErr w:type="spellStart"/>
      <w:r w:rsidRPr="006D7536">
        <w:rPr>
          <w:rFonts w:asciiTheme="majorBidi" w:hAnsiTheme="majorBidi" w:cstheme="majorBidi"/>
        </w:rPr>
        <w:t>Isil</w:t>
      </w:r>
      <w:proofErr w:type="spellEnd"/>
      <w:r w:rsidRPr="006D7536">
        <w:rPr>
          <w:rFonts w:asciiTheme="majorBidi" w:hAnsiTheme="majorBidi" w:cstheme="majorBidi"/>
        </w:rPr>
        <w:t xml:space="preserve"> B, Chapel H. International Consensus Document (ICON): Common variable immunodeficiency disorders. J Allergy </w:t>
      </w:r>
      <w:proofErr w:type="spellStart"/>
      <w:r w:rsidRPr="006D7536">
        <w:rPr>
          <w:rFonts w:asciiTheme="majorBidi" w:hAnsiTheme="majorBidi" w:cstheme="majorBidi"/>
        </w:rPr>
        <w:t>Clin</w:t>
      </w:r>
      <w:proofErr w:type="spellEnd"/>
      <w:r w:rsidRPr="006D7536">
        <w:rPr>
          <w:rFonts w:asciiTheme="majorBidi" w:hAnsiTheme="majorBidi" w:cstheme="majorBidi"/>
        </w:rPr>
        <w:t xml:space="preserve"> </w:t>
      </w:r>
      <w:proofErr w:type="spellStart"/>
      <w:r w:rsidRPr="006D7536">
        <w:rPr>
          <w:rFonts w:asciiTheme="majorBidi" w:hAnsiTheme="majorBidi" w:cstheme="majorBidi"/>
        </w:rPr>
        <w:t>Immunol</w:t>
      </w:r>
      <w:proofErr w:type="spellEnd"/>
      <w:r w:rsidRPr="006D7536">
        <w:rPr>
          <w:rFonts w:asciiTheme="majorBidi" w:hAnsiTheme="majorBidi" w:cstheme="majorBidi"/>
        </w:rPr>
        <w:t xml:space="preserve"> Pr. 2016; 4(1):38–59.</w:t>
      </w:r>
    </w:p>
    <w:p w:rsidR="008801E8" w:rsidRPr="006D7536" w:rsidRDefault="008801E8" w:rsidP="008801E8">
      <w:pPr>
        <w:tabs>
          <w:tab w:val="left" w:pos="1279"/>
        </w:tabs>
        <w:rPr>
          <w:rFonts w:asciiTheme="majorBidi" w:hAnsiTheme="majorBidi" w:cstheme="majorBidi"/>
        </w:rPr>
      </w:pPr>
      <w:r w:rsidRPr="006D7536">
        <w:rPr>
          <w:rFonts w:asciiTheme="majorBidi" w:hAnsiTheme="majorBidi" w:cstheme="majorBidi"/>
        </w:rPr>
        <w:t xml:space="preserve">6) Cunningham-Rundles C. The many faces of </w:t>
      </w:r>
      <w:proofErr w:type="spellStart"/>
      <w:r w:rsidRPr="006D7536">
        <w:rPr>
          <w:rFonts w:asciiTheme="majorBidi" w:hAnsiTheme="majorBidi" w:cstheme="majorBidi"/>
        </w:rPr>
        <w:t>commonvariable</w:t>
      </w:r>
      <w:proofErr w:type="spellEnd"/>
      <w:r w:rsidRPr="006D7536">
        <w:rPr>
          <w:rFonts w:asciiTheme="majorBidi" w:hAnsiTheme="majorBidi" w:cstheme="majorBidi"/>
        </w:rPr>
        <w:t xml:space="preserve"> immunodeficiency. </w:t>
      </w:r>
      <w:proofErr w:type="spellStart"/>
      <w:r w:rsidRPr="006D7536">
        <w:rPr>
          <w:rFonts w:asciiTheme="majorBidi" w:hAnsiTheme="majorBidi" w:cstheme="majorBidi"/>
        </w:rPr>
        <w:t>HematologyAmSoc</w:t>
      </w:r>
      <w:proofErr w:type="spellEnd"/>
      <w:r w:rsidRPr="006D7536">
        <w:rPr>
          <w:rFonts w:asciiTheme="majorBidi" w:hAnsiTheme="majorBidi" w:cstheme="majorBidi"/>
        </w:rPr>
        <w:t xml:space="preserve"> </w:t>
      </w:r>
      <w:proofErr w:type="spellStart"/>
      <w:r w:rsidRPr="006D7536">
        <w:rPr>
          <w:rFonts w:asciiTheme="majorBidi" w:hAnsiTheme="majorBidi" w:cstheme="majorBidi"/>
        </w:rPr>
        <w:t>Hematol</w:t>
      </w:r>
      <w:proofErr w:type="spellEnd"/>
      <w:r w:rsidRPr="006D7536">
        <w:rPr>
          <w:rFonts w:asciiTheme="majorBidi" w:hAnsiTheme="majorBidi" w:cstheme="majorBidi"/>
        </w:rPr>
        <w:t xml:space="preserve"> </w:t>
      </w:r>
      <w:proofErr w:type="spellStart"/>
      <w:r w:rsidRPr="006D7536">
        <w:rPr>
          <w:rFonts w:asciiTheme="majorBidi" w:hAnsiTheme="majorBidi" w:cstheme="majorBidi"/>
        </w:rPr>
        <w:t>Educ</w:t>
      </w:r>
      <w:proofErr w:type="spellEnd"/>
      <w:r w:rsidRPr="006D7536">
        <w:rPr>
          <w:rFonts w:asciiTheme="majorBidi" w:hAnsiTheme="majorBidi" w:cstheme="majorBidi"/>
        </w:rPr>
        <w:t xml:space="preserve"> Program. 2012; 2012:301–5.</w:t>
      </w:r>
    </w:p>
    <w:p w:rsidR="00E632AE" w:rsidRPr="00D0342E" w:rsidRDefault="00E632AE" w:rsidP="00D0342E">
      <w:pPr>
        <w:rPr>
          <w:rFonts w:asciiTheme="majorBidi" w:hAnsiTheme="majorBidi" w:cstheme="majorBidi"/>
          <w:sz w:val="24"/>
          <w:szCs w:val="24"/>
        </w:rPr>
      </w:pPr>
    </w:p>
    <w:sectPr w:rsidR="00E632AE" w:rsidRPr="00D034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4B"/>
    <w:rsid w:val="00035AD0"/>
    <w:rsid w:val="000610FD"/>
    <w:rsid w:val="000F6CB1"/>
    <w:rsid w:val="001112DE"/>
    <w:rsid w:val="00221939"/>
    <w:rsid w:val="002228B3"/>
    <w:rsid w:val="00303144"/>
    <w:rsid w:val="00324157"/>
    <w:rsid w:val="0035287B"/>
    <w:rsid w:val="003B574B"/>
    <w:rsid w:val="003F77EF"/>
    <w:rsid w:val="00536B86"/>
    <w:rsid w:val="00602200"/>
    <w:rsid w:val="006121DA"/>
    <w:rsid w:val="006D7536"/>
    <w:rsid w:val="007239B5"/>
    <w:rsid w:val="00760E10"/>
    <w:rsid w:val="007971E8"/>
    <w:rsid w:val="007D407B"/>
    <w:rsid w:val="00814CA3"/>
    <w:rsid w:val="008801E8"/>
    <w:rsid w:val="00896130"/>
    <w:rsid w:val="008D3357"/>
    <w:rsid w:val="009F2A45"/>
    <w:rsid w:val="00A935E2"/>
    <w:rsid w:val="00AC760C"/>
    <w:rsid w:val="00B717F0"/>
    <w:rsid w:val="00B91460"/>
    <w:rsid w:val="00C44211"/>
    <w:rsid w:val="00CE156C"/>
    <w:rsid w:val="00D0342E"/>
    <w:rsid w:val="00DE378C"/>
    <w:rsid w:val="00E02241"/>
    <w:rsid w:val="00E23E97"/>
    <w:rsid w:val="00E632AE"/>
    <w:rsid w:val="00E64B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24749-8258-4CB5-B715-1B1BE60C6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39B5"/>
    <w:rPr>
      <w:color w:val="0563C1" w:themeColor="hyperlink"/>
      <w:u w:val="single"/>
    </w:rPr>
  </w:style>
  <w:style w:type="character" w:styleId="Strong">
    <w:name w:val="Strong"/>
    <w:basedOn w:val="DefaultParagraphFont"/>
    <w:uiPriority w:val="22"/>
    <w:qFormat/>
    <w:rsid w:val="007239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fapour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azar</cp:lastModifiedBy>
  <cp:revision>2</cp:revision>
  <dcterms:created xsi:type="dcterms:W3CDTF">2019-01-26T06:20:00Z</dcterms:created>
  <dcterms:modified xsi:type="dcterms:W3CDTF">2019-01-26T06:20:00Z</dcterms:modified>
</cp:coreProperties>
</file>